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51BAC9B"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097E94">
        <w:rPr>
          <w:b/>
          <w:noProof/>
          <w:sz w:val="24"/>
          <w:lang w:val="en-US"/>
        </w:rPr>
        <w:t>3</w:t>
      </w:r>
      <w:r w:rsidR="000C416C">
        <w:rPr>
          <w:b/>
          <w:noProof/>
          <w:sz w:val="24"/>
          <w:lang w:val="en-US"/>
        </w:rPr>
        <w:t xml:space="preserve">             </w:t>
      </w:r>
      <w:r w:rsidR="002364A5">
        <w:rPr>
          <w:b/>
          <w:noProof/>
          <w:sz w:val="24"/>
          <w:lang w:val="en-US"/>
        </w:rPr>
        <w:t xml:space="preserve">                          </w:t>
      </w:r>
      <w:r w:rsidR="00DD5517">
        <w:rPr>
          <w:b/>
          <w:noProof/>
          <w:sz w:val="24"/>
          <w:lang w:val="en-US"/>
        </w:rPr>
        <w:t xml:space="preserve">    </w:t>
      </w:r>
      <w:r w:rsidR="002364A5">
        <w:rPr>
          <w:b/>
          <w:noProof/>
          <w:sz w:val="24"/>
          <w:lang w:val="en-US"/>
        </w:rPr>
        <w:t xml:space="preserve">                      </w:t>
      </w:r>
      <w:r w:rsidR="000F0422" w:rsidRPr="00EC55D0">
        <w:rPr>
          <w:b/>
          <w:noProof/>
          <w:sz w:val="24"/>
          <w:lang w:val="en-US"/>
        </w:rPr>
        <w:t>R</w:t>
      </w:r>
      <w:r w:rsidR="000F0422">
        <w:rPr>
          <w:b/>
          <w:noProof/>
          <w:sz w:val="24"/>
          <w:lang w:val="en-US"/>
        </w:rPr>
        <w:t>2</w:t>
      </w:r>
      <w:r w:rsidR="000F0422" w:rsidRPr="00EC55D0">
        <w:rPr>
          <w:b/>
          <w:noProof/>
          <w:sz w:val="24"/>
          <w:lang w:val="en-US"/>
        </w:rPr>
        <w:t>-2</w:t>
      </w:r>
      <w:r w:rsidR="000F0422">
        <w:rPr>
          <w:b/>
          <w:noProof/>
          <w:sz w:val="24"/>
          <w:lang w:val="en-US"/>
        </w:rPr>
        <w:t>30760</w:t>
      </w:r>
      <w:r w:rsidR="00CC6083">
        <w:rPr>
          <w:b/>
          <w:noProof/>
          <w:sz w:val="24"/>
          <w:lang w:val="en-US"/>
        </w:rPr>
        <w:t>4</w:t>
      </w:r>
    </w:p>
    <w:p w14:paraId="351CA33D" w14:textId="14BAE6C4" w:rsidR="00347001" w:rsidRPr="002D2634" w:rsidRDefault="00097E94" w:rsidP="00D870B2">
      <w:pPr>
        <w:tabs>
          <w:tab w:val="left" w:pos="1985"/>
        </w:tabs>
        <w:rPr>
          <w:bCs/>
          <w:i/>
          <w:iCs/>
          <w:color w:val="2F5496"/>
          <w:sz w:val="24"/>
          <w:lang w:val="pt-PT"/>
        </w:rPr>
      </w:pPr>
      <w:r>
        <w:rPr>
          <w:rFonts w:ascii="Arial" w:eastAsia="MS Mincho" w:hAnsi="Arial"/>
          <w:b/>
          <w:noProof/>
          <w:sz w:val="24"/>
        </w:rPr>
        <w:t xml:space="preserve">Toulouse, France, August </w:t>
      </w:r>
      <w:r w:rsidR="00DD5517">
        <w:rPr>
          <w:rFonts w:ascii="Arial" w:eastAsia="MS Mincho" w:hAnsi="Arial"/>
          <w:b/>
          <w:noProof/>
          <w:sz w:val="24"/>
        </w:rPr>
        <w:t>May</w:t>
      </w:r>
      <w:r w:rsidR="003F7693">
        <w:rPr>
          <w:rFonts w:ascii="Arial" w:eastAsia="MS Mincho" w:hAnsi="Arial"/>
          <w:b/>
          <w:noProof/>
          <w:sz w:val="24"/>
        </w:rPr>
        <w:t xml:space="preserve"> </w:t>
      </w:r>
      <w:r w:rsidR="00DD5517">
        <w:rPr>
          <w:rFonts w:ascii="Arial" w:eastAsia="MS Mincho" w:hAnsi="Arial"/>
          <w:b/>
          <w:noProof/>
          <w:sz w:val="24"/>
        </w:rPr>
        <w:t>21</w:t>
      </w:r>
      <w:r w:rsidR="003F7693">
        <w:rPr>
          <w:rFonts w:ascii="Arial" w:eastAsia="MS Mincho" w:hAnsi="Arial"/>
          <w:b/>
          <w:noProof/>
          <w:sz w:val="24"/>
        </w:rPr>
        <w:t xml:space="preserve"> – 2</w:t>
      </w:r>
      <w:r>
        <w:rPr>
          <w:rFonts w:ascii="Arial" w:eastAsia="MS Mincho" w:hAnsi="Arial"/>
          <w:b/>
          <w:noProof/>
          <w:sz w:val="24"/>
        </w:rPr>
        <w:t>5</w:t>
      </w:r>
      <w:r w:rsidR="003F7693">
        <w:rPr>
          <w:rFonts w:ascii="Arial" w:eastAsia="MS Mincho" w:hAnsi="Arial"/>
          <w:b/>
          <w:noProof/>
          <w:sz w:val="24"/>
        </w:rPr>
        <w:t>,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FE03EA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7.12.</w:t>
      </w:r>
      <w:r w:rsidR="00490D5E">
        <w:rPr>
          <w:sz w:val="24"/>
          <w:lang w:val="pt-PT"/>
        </w:rPr>
        <w:t>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14EF542"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0C7C30" w:rsidRPr="000C7C30">
        <w:rPr>
          <w:rFonts w:ascii="Arial" w:hAnsi="Arial"/>
          <w:sz w:val="24"/>
        </w:rPr>
        <w:t>Enhancements for mobile IAB connected mode mobility</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32F4EEA9" w:rsidR="00B65E42" w:rsidRDefault="00BF49E1" w:rsidP="0051442A">
      <w:pPr>
        <w:spacing w:before="120" w:after="120"/>
      </w:pPr>
      <w:r>
        <w:t xml:space="preserve">In the last meeting, </w:t>
      </w:r>
      <w:r w:rsidR="00D7053B">
        <w:t xml:space="preserve">RAN2 discussed </w:t>
      </w:r>
      <w:r w:rsidR="00E035F9">
        <w:t xml:space="preserve">RACHless </w:t>
      </w:r>
      <w:r w:rsidR="000C7C30">
        <w:t xml:space="preserve">and conditional </w:t>
      </w:r>
      <w:r w:rsidR="00E035F9">
        <w:t>handover for UEs</w:t>
      </w:r>
      <w:r w:rsidR="0051442A">
        <w:t xml:space="preserve"> during DU migration. The following agreements were achieved </w:t>
      </w:r>
      <w:r w:rsidR="00D80F5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C400B">
        <w:tc>
          <w:tcPr>
            <w:tcW w:w="9631" w:type="dxa"/>
            <w:shd w:val="clear" w:color="auto" w:fill="auto"/>
          </w:tcPr>
          <w:p w14:paraId="4E1D6833" w14:textId="77777777" w:rsidR="00F47D33" w:rsidRPr="00650AE8" w:rsidRDefault="00F47D33" w:rsidP="00F47D33">
            <w:pPr>
              <w:pStyle w:val="BoldComments"/>
              <w:rPr>
                <w:rStyle w:val="B1Zchn"/>
                <w:sz w:val="18"/>
                <w:szCs w:val="22"/>
              </w:rPr>
            </w:pPr>
            <w:r w:rsidRPr="00650AE8">
              <w:rPr>
                <w:sz w:val="18"/>
                <w:szCs w:val="22"/>
              </w:rPr>
              <w:t>Handover Enhancements</w:t>
            </w:r>
          </w:p>
          <w:p w14:paraId="40DC3319" w14:textId="0DCDD121" w:rsidR="00F47D33" w:rsidRPr="00650AE8" w:rsidRDefault="00F47D33" w:rsidP="00F47D33">
            <w:pPr>
              <w:pStyle w:val="Agreement"/>
              <w:tabs>
                <w:tab w:val="clear" w:pos="-9640"/>
                <w:tab w:val="num" w:pos="1619"/>
              </w:tabs>
              <w:ind w:left="360"/>
              <w:rPr>
                <w:sz w:val="18"/>
                <w:szCs w:val="22"/>
              </w:rPr>
            </w:pPr>
            <w:r w:rsidRPr="00650AE8">
              <w:rPr>
                <w:sz w:val="18"/>
                <w:szCs w:val="22"/>
              </w:rPr>
              <w:t>RAN2 think that to have a fast handover from UE point of view for legacy UEs it is important that the target cell is known to the UE (detected and measured).</w:t>
            </w:r>
          </w:p>
          <w:p w14:paraId="5AA1217E" w14:textId="77777777" w:rsidR="00F47D33" w:rsidRPr="00650AE8" w:rsidRDefault="00F47D33" w:rsidP="00F47D33">
            <w:pPr>
              <w:pStyle w:val="Agreement"/>
              <w:tabs>
                <w:tab w:val="clear" w:pos="-9640"/>
                <w:tab w:val="num" w:pos="1619"/>
              </w:tabs>
              <w:ind w:left="360"/>
              <w:rPr>
                <w:sz w:val="18"/>
                <w:szCs w:val="22"/>
              </w:rPr>
            </w:pPr>
            <w:r w:rsidRPr="00650AE8">
              <w:rPr>
                <w:sz w:val="18"/>
                <w:szCs w:val="22"/>
              </w:rPr>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728ECFB0" w14:textId="77777777" w:rsidR="00F47D33" w:rsidRPr="00650AE8" w:rsidRDefault="00F47D33" w:rsidP="00F47D33">
            <w:pPr>
              <w:pStyle w:val="Agreement"/>
              <w:tabs>
                <w:tab w:val="clear" w:pos="-9640"/>
                <w:tab w:val="num" w:pos="1619"/>
              </w:tabs>
              <w:ind w:left="360"/>
              <w:rPr>
                <w:sz w:val="18"/>
                <w:szCs w:val="22"/>
                <w:lang w:eastAsia="en-US"/>
              </w:rPr>
            </w:pPr>
            <w:r w:rsidRPr="00650AE8">
              <w:rPr>
                <w:sz w:val="18"/>
                <w:szCs w:val="22"/>
                <w:lang w:eastAsia="en-US"/>
              </w:rPr>
              <w:t>for the UL grant and HO completion in RACH-less HO:</w:t>
            </w:r>
          </w:p>
          <w:p w14:paraId="6BC288DF" w14:textId="77777777" w:rsidR="00F47D33" w:rsidRPr="00650AE8" w:rsidRDefault="00F47D33" w:rsidP="00F47D33">
            <w:pPr>
              <w:pStyle w:val="Agreement"/>
              <w:numPr>
                <w:ilvl w:val="0"/>
                <w:numId w:val="0"/>
              </w:numPr>
              <w:ind w:left="360"/>
              <w:rPr>
                <w:sz w:val="18"/>
                <w:szCs w:val="22"/>
                <w:lang w:eastAsia="en-US"/>
              </w:rPr>
            </w:pPr>
            <w:r w:rsidRPr="00650AE8">
              <w:rPr>
                <w:sz w:val="18"/>
                <w:szCs w:val="22"/>
                <w:lang w:eastAsia="en-US"/>
              </w:rPr>
              <w:t>1. Both type-1 configured grant and dynamic grant are supported</w:t>
            </w:r>
          </w:p>
          <w:p w14:paraId="2109CF9F" w14:textId="77777777" w:rsidR="00F47D33" w:rsidRPr="00650AE8" w:rsidRDefault="00F47D33" w:rsidP="00F47D33">
            <w:pPr>
              <w:pStyle w:val="Agreement"/>
              <w:numPr>
                <w:ilvl w:val="0"/>
                <w:numId w:val="0"/>
              </w:numPr>
              <w:ind w:left="360"/>
              <w:rPr>
                <w:rFonts w:eastAsia="Times New Roman"/>
                <w:sz w:val="18"/>
                <w:szCs w:val="18"/>
                <w:lang w:eastAsia="en-US"/>
              </w:rPr>
            </w:pPr>
            <w:r w:rsidRPr="00650AE8">
              <w:rPr>
                <w:rFonts w:eastAsia="Times New Roman"/>
                <w:sz w:val="18"/>
                <w:szCs w:val="18"/>
                <w:lang w:eastAsia="en-US"/>
              </w:rPr>
              <w:t xml:space="preserve">2. FFS handling of supervision timer and when HO is considered successfully complete (expect to align with other WI). </w:t>
            </w:r>
          </w:p>
          <w:p w14:paraId="080149EE" w14:textId="6721273D" w:rsidR="000C7C30" w:rsidRPr="000C7C30" w:rsidRDefault="000C7C30" w:rsidP="000C7C30">
            <w:pPr>
              <w:pStyle w:val="Doc-text2"/>
            </w:pPr>
          </w:p>
        </w:tc>
      </w:tr>
    </w:tbl>
    <w:p w14:paraId="49F1C855" w14:textId="64909F5A" w:rsidR="006A6AE6" w:rsidRDefault="006A6AE6" w:rsidP="006A6AE6">
      <w:pPr>
        <w:spacing w:before="120" w:after="120"/>
        <w:rPr>
          <w:lang w:val="en-US"/>
        </w:rPr>
      </w:pPr>
      <w:r>
        <w:rPr>
          <w:lang w:val="en-US"/>
        </w:rPr>
        <w:t>T</w:t>
      </w:r>
      <w:r w:rsidRPr="0051442A">
        <w:rPr>
          <w:lang w:val="en-US"/>
        </w:rPr>
        <w:t xml:space="preserve">his paper discusses </w:t>
      </w:r>
      <w:r w:rsidR="00E035F9">
        <w:rPr>
          <w:lang w:val="en-US"/>
        </w:rPr>
        <w:t xml:space="preserve">remaining issues </w:t>
      </w:r>
      <w:r w:rsidR="000C7C30">
        <w:rPr>
          <w:lang w:val="en-US"/>
        </w:rPr>
        <w:t>for connected-mode mobility during DU migration</w:t>
      </w:r>
      <w:r>
        <w:rPr>
          <w:lang w:val="en-US"/>
        </w:rPr>
        <w:t>.</w:t>
      </w:r>
    </w:p>
    <w:p w14:paraId="68AF9242" w14:textId="211BF4F2" w:rsidR="00CD4C7B" w:rsidRPr="00320A6B" w:rsidRDefault="00CD4C7B" w:rsidP="00CD4C7B">
      <w:pPr>
        <w:pStyle w:val="Heading1"/>
      </w:pPr>
      <w:r w:rsidRPr="00320A6B">
        <w:t>2</w:t>
      </w:r>
      <w:r w:rsidRPr="00320A6B">
        <w:tab/>
      </w:r>
      <w:r w:rsidR="00A66990">
        <w:t>Discussion</w:t>
      </w:r>
    </w:p>
    <w:p w14:paraId="0328B4BC" w14:textId="5AE00738" w:rsidR="000C7C30" w:rsidRPr="00320A6B" w:rsidRDefault="000C7C30" w:rsidP="000C7C30">
      <w:pPr>
        <w:pStyle w:val="Heading2"/>
      </w:pPr>
      <w:r w:rsidRPr="00320A6B">
        <w:t>2</w:t>
      </w:r>
      <w:r>
        <w:t>.1</w:t>
      </w:r>
      <w:r w:rsidRPr="00320A6B">
        <w:tab/>
      </w:r>
      <w:r>
        <w:t>RACH-less handover</w:t>
      </w:r>
      <w:r w:rsidR="000C5B7B">
        <w:t xml:space="preserve"> during DU migration</w:t>
      </w:r>
    </w:p>
    <w:p w14:paraId="6E2C864D" w14:textId="525CF39D" w:rsidR="00F47D33" w:rsidRPr="00014703" w:rsidRDefault="00F47D33" w:rsidP="00E77925">
      <w:pPr>
        <w:spacing w:before="120" w:after="120"/>
      </w:pPr>
      <w:r w:rsidRPr="00014703">
        <w:t>RAN2 has not yet decided if RACH-less handover should be supported during DU migration. At this state of the WI, RAN2 should conclude whether to support RACH-less handover or not. This decision should be based on the benefits expected from RACH-less handover for this use case and the expected specification effort.</w:t>
      </w:r>
    </w:p>
    <w:p w14:paraId="53DAAD39" w14:textId="4F0D0891" w:rsidR="00F47D33" w:rsidRPr="00014703" w:rsidRDefault="00F47D33" w:rsidP="00E77925">
      <w:pPr>
        <w:spacing w:before="120" w:after="120"/>
      </w:pPr>
      <w:r w:rsidRPr="00014703">
        <w:t>The following benefits can be considered for RACH-less handover:</w:t>
      </w:r>
    </w:p>
    <w:p w14:paraId="42B4AE2F" w14:textId="1AF41E37" w:rsidR="00F47D33" w:rsidRPr="00F47D33" w:rsidRDefault="00F47D33" w:rsidP="00F47D33">
      <w:pPr>
        <w:pStyle w:val="ListParagraph"/>
        <w:numPr>
          <w:ilvl w:val="0"/>
          <w:numId w:val="10"/>
        </w:numPr>
        <w:spacing w:before="120" w:after="120"/>
      </w:pPr>
      <w:r w:rsidRPr="00235846">
        <w:rPr>
          <w:b/>
          <w:bCs/>
        </w:rPr>
        <w:t>Reduced handover failure:</w:t>
      </w:r>
      <w:r>
        <w:t xml:space="preserve"> Handover failure may happen if handover execution occurs t</w:t>
      </w:r>
      <w:r w:rsidR="001415F7">
        <w:t>o</w:t>
      </w:r>
      <w:r>
        <w:t xml:space="preserve">o late. This issue does not apply for UE handover during DU migration since the two logical cells are expected to be </w:t>
      </w:r>
      <w:r w:rsidR="00235846">
        <w:t>collocated, i.e., the source and target channels are the same, and since both cells can be concurrently active without for an extended period of time.</w:t>
      </w:r>
      <w:r w:rsidRPr="00F47D33">
        <w:t xml:space="preserve"> </w:t>
      </w:r>
    </w:p>
    <w:p w14:paraId="54C6F505" w14:textId="02869EA3" w:rsidR="00F47D33" w:rsidRDefault="00235846" w:rsidP="001415F7">
      <w:pPr>
        <w:pStyle w:val="ListParagraph"/>
        <w:numPr>
          <w:ilvl w:val="0"/>
          <w:numId w:val="10"/>
        </w:numPr>
        <w:spacing w:before="120" w:after="120"/>
      </w:pPr>
      <w:r w:rsidRPr="00235846">
        <w:rPr>
          <w:b/>
          <w:bCs/>
        </w:rPr>
        <w:t>Reduced interruption time:</w:t>
      </w:r>
      <w:r>
        <w:t xml:space="preserve"> The interruption time due to the RA procedure is significant. During DU migration, RACH-less handover can therefore provide similar interruption time improvements as for other scenarios, e.g., NTN or LTM, where RACH-less handover is considered.</w:t>
      </w:r>
      <w:r w:rsidR="00F47D33" w:rsidRPr="00F47D33">
        <w:t xml:space="preserve"> </w:t>
      </w:r>
    </w:p>
    <w:p w14:paraId="0849347C" w14:textId="09F6210A" w:rsidR="00235846" w:rsidRDefault="00235846" w:rsidP="00235846">
      <w:pPr>
        <w:pStyle w:val="ListParagraph"/>
        <w:numPr>
          <w:ilvl w:val="0"/>
          <w:numId w:val="10"/>
        </w:numPr>
        <w:spacing w:before="120" w:after="120"/>
      </w:pPr>
      <w:r w:rsidRPr="00235846">
        <w:rPr>
          <w:b/>
          <w:bCs/>
        </w:rPr>
        <w:t>Reduced overhead:</w:t>
      </w:r>
      <w:r>
        <w:t xml:space="preserve"> RACH-less handover can spare the signaling needed for the RA procedure. This may be </w:t>
      </w:r>
      <w:r w:rsidR="001415F7">
        <w:t>of</w:t>
      </w:r>
      <w:r>
        <w:t xml:space="preserve"> significant benefit for DU migration in case a large number of UEs have to be handed over within a small time</w:t>
      </w:r>
      <w:r w:rsidR="00AE488A">
        <w:t>frame</w:t>
      </w:r>
      <w:r>
        <w:t xml:space="preserve">. </w:t>
      </w:r>
    </w:p>
    <w:p w14:paraId="7D6D3E14" w14:textId="1780F29E" w:rsidR="00235846" w:rsidRPr="00014703" w:rsidRDefault="00235846" w:rsidP="00E211B2">
      <w:pPr>
        <w:spacing w:before="120" w:after="120"/>
        <w:rPr>
          <w:b/>
          <w:bCs/>
        </w:rPr>
      </w:pPr>
      <w:r w:rsidRPr="00014703">
        <w:rPr>
          <w:b/>
          <w:bCs/>
        </w:rPr>
        <w:t xml:space="preserve">Observation 1: </w:t>
      </w:r>
      <w:r w:rsidR="00AE488A" w:rsidRPr="00014703">
        <w:rPr>
          <w:b/>
          <w:bCs/>
        </w:rPr>
        <w:t xml:space="preserve">For DU-migration, RACH-less handover can provide significant interruption time reduction, and also significant signalling reduction in case many UEs have to be handed over within a small timeframe. </w:t>
      </w:r>
    </w:p>
    <w:p w14:paraId="0F30D5F7" w14:textId="77777777" w:rsidR="00E211B2" w:rsidRDefault="00E211B2" w:rsidP="00014703">
      <w:pPr>
        <w:spacing w:before="120" w:after="120"/>
      </w:pPr>
    </w:p>
    <w:p w14:paraId="2B431FC1" w14:textId="59C07D3C" w:rsidR="00646D28" w:rsidRDefault="00014703" w:rsidP="00014703">
      <w:pPr>
        <w:spacing w:before="120" w:after="120"/>
      </w:pPr>
      <w:r w:rsidRPr="00014703">
        <w:t xml:space="preserve">The </w:t>
      </w:r>
      <w:r w:rsidR="00E211B2">
        <w:t>specification</w:t>
      </w:r>
      <w:r>
        <w:t xml:space="preserve"> effort </w:t>
      </w:r>
      <w:r w:rsidR="000C5B7B">
        <w:t xml:space="preserve">needed for RACH-less HO of mobile IAB </w:t>
      </w:r>
      <w:r w:rsidR="00E211B2">
        <w:t xml:space="preserve">can be </w:t>
      </w:r>
      <w:r w:rsidR="00F965DB">
        <w:t xml:space="preserve">inferred from </w:t>
      </w:r>
      <w:r w:rsidR="000C5B7B">
        <w:t>the enhancements discussed and agreed for</w:t>
      </w:r>
      <w:r w:rsidR="00F965DB">
        <w:t xml:space="preserve"> RACH-less HO </w:t>
      </w:r>
      <w:r w:rsidR="007911A9">
        <w:t xml:space="preserve">pursued by </w:t>
      </w:r>
      <w:r w:rsidR="00E211B2">
        <w:t>other WIs</w:t>
      </w:r>
      <w:r w:rsidR="00D00033">
        <w:t xml:space="preserve">. </w:t>
      </w:r>
      <w:r w:rsidR="000C5B7B">
        <w:t>Th</w:t>
      </w:r>
      <w:r w:rsidR="007911A9">
        <w:t>e</w:t>
      </w:r>
      <w:r w:rsidR="000C5B7B">
        <w:t xml:space="preserve"> specification effort </w:t>
      </w:r>
      <w:r w:rsidR="007911A9">
        <w:t xml:space="preserve">for RACH-less HO of mIAB </w:t>
      </w:r>
      <w:r w:rsidR="000C5B7B">
        <w:t xml:space="preserve">can further be reduced </w:t>
      </w:r>
      <w:r w:rsidR="009F7C41">
        <w:t>where</w:t>
      </w:r>
      <w:r w:rsidR="000C5B7B">
        <w:t xml:space="preserve"> enhancements </w:t>
      </w:r>
      <w:r w:rsidR="007911A9">
        <w:t xml:space="preserve">introduced </w:t>
      </w:r>
      <w:r w:rsidR="009F7C41">
        <w:t xml:space="preserve">for RACH-less HO </w:t>
      </w:r>
      <w:r w:rsidR="007911A9">
        <w:t>by other WIs can be adopted</w:t>
      </w:r>
      <w:r w:rsidR="000C5B7B">
        <w:t xml:space="preserve">. </w:t>
      </w:r>
    </w:p>
    <w:p w14:paraId="2AEDCFCF" w14:textId="1AFC94D9" w:rsidR="00646D28" w:rsidRDefault="00646D28" w:rsidP="00646D28">
      <w:pPr>
        <w:spacing w:before="120" w:after="120"/>
      </w:pPr>
      <w:r>
        <w:lastRenderedPageBreak/>
        <w:t xml:space="preserve">Presently, NTN and LTM pursue RACH-less handover. RACH-less HO </w:t>
      </w:r>
      <w:r w:rsidR="00037FDF">
        <w:t>for DU migration can</w:t>
      </w:r>
      <w:r>
        <w:t xml:space="preserve"> leverage enhancements introduced for NTN RACH-less HO since both efforts </w:t>
      </w:r>
      <w:r w:rsidR="00037FDF">
        <w:t xml:space="preserve">apply to inter-CU handover on L3. </w:t>
      </w:r>
      <w:r>
        <w:t>LTM</w:t>
      </w:r>
      <w:r w:rsidR="00037FDF">
        <w:t xml:space="preserve"> is different in that respect as it applies handover to intra CU on L1/L2.</w:t>
      </w:r>
    </w:p>
    <w:p w14:paraId="592EF259" w14:textId="33283B63" w:rsidR="00D00033" w:rsidRPr="00014703" w:rsidRDefault="00D00033" w:rsidP="00D00033">
      <w:pPr>
        <w:spacing w:before="120" w:after="120"/>
        <w:rPr>
          <w:b/>
          <w:bCs/>
        </w:rPr>
      </w:pPr>
      <w:r w:rsidRPr="00014703">
        <w:rPr>
          <w:b/>
          <w:bCs/>
        </w:rPr>
        <w:t xml:space="preserve">Observation </w:t>
      </w:r>
      <w:r>
        <w:rPr>
          <w:b/>
          <w:bCs/>
        </w:rPr>
        <w:t>2</w:t>
      </w:r>
      <w:r w:rsidRPr="00014703">
        <w:rPr>
          <w:b/>
          <w:bCs/>
        </w:rPr>
        <w:t xml:space="preserve">: </w:t>
      </w:r>
      <w:r>
        <w:rPr>
          <w:b/>
          <w:bCs/>
        </w:rPr>
        <w:t xml:space="preserve">RACH-less handover </w:t>
      </w:r>
      <w:r w:rsidR="00646D28">
        <w:rPr>
          <w:b/>
          <w:bCs/>
        </w:rPr>
        <w:t xml:space="preserve">for DU migration, if supported, </w:t>
      </w:r>
      <w:r w:rsidR="001D1176">
        <w:rPr>
          <w:b/>
          <w:bCs/>
        </w:rPr>
        <w:t>may</w:t>
      </w:r>
      <w:r>
        <w:rPr>
          <w:b/>
          <w:bCs/>
        </w:rPr>
        <w:t xml:space="preserve"> </w:t>
      </w:r>
      <w:r w:rsidR="00646D28">
        <w:rPr>
          <w:b/>
          <w:bCs/>
        </w:rPr>
        <w:t>leverage</w:t>
      </w:r>
      <w:r>
        <w:rPr>
          <w:b/>
          <w:bCs/>
        </w:rPr>
        <w:t xml:space="preserve"> </w:t>
      </w:r>
      <w:r w:rsidR="00037FDF">
        <w:rPr>
          <w:b/>
          <w:bCs/>
        </w:rPr>
        <w:t xml:space="preserve">enhancements of </w:t>
      </w:r>
      <w:r>
        <w:rPr>
          <w:b/>
          <w:bCs/>
        </w:rPr>
        <w:t xml:space="preserve">NTN RACH-less </w:t>
      </w:r>
      <w:r w:rsidR="00037FDF">
        <w:rPr>
          <w:b/>
          <w:bCs/>
        </w:rPr>
        <w:t>HO</w:t>
      </w:r>
      <w:r>
        <w:rPr>
          <w:b/>
          <w:bCs/>
        </w:rPr>
        <w:t xml:space="preserve"> since both </w:t>
      </w:r>
      <w:r w:rsidR="009A4E65">
        <w:rPr>
          <w:b/>
          <w:bCs/>
        </w:rPr>
        <w:t>handover procedures are conducted on L3 and may occur between different CUs.</w:t>
      </w:r>
      <w:r w:rsidRPr="00014703">
        <w:rPr>
          <w:b/>
          <w:bCs/>
        </w:rPr>
        <w:t xml:space="preserve"> </w:t>
      </w:r>
    </w:p>
    <w:p w14:paraId="36128DED" w14:textId="77777777" w:rsidR="00650AE8" w:rsidRDefault="00650AE8" w:rsidP="00014703">
      <w:pPr>
        <w:spacing w:before="120" w:after="120"/>
      </w:pPr>
    </w:p>
    <w:p w14:paraId="62C1807C" w14:textId="72FB8462" w:rsidR="00F965DB" w:rsidRDefault="00887C80" w:rsidP="00014703">
      <w:pPr>
        <w:spacing w:before="120" w:after="120"/>
      </w:pPr>
      <w:r>
        <w:t xml:space="preserve">The following </w:t>
      </w:r>
      <w:r w:rsidR="00D90131">
        <w:t>lists</w:t>
      </w:r>
      <w:r>
        <w:t xml:space="preserve"> </w:t>
      </w:r>
      <w:r w:rsidR="00D90131">
        <w:t>the agreements f</w:t>
      </w:r>
      <w:r>
        <w:t>or NTN RACH-less HO</w:t>
      </w:r>
      <w:r w:rsidR="004570B4">
        <w:t xml:space="preserve"> </w:t>
      </w:r>
      <w:r w:rsidR="00D90131">
        <w:t>from</w:t>
      </w:r>
      <w:r w:rsidR="004570B4">
        <w:t xml:space="preserve"> R2#121, R2#121bis-e, and R2-122</w:t>
      </w:r>
      <w:r w:rsidR="00D90131">
        <w:t xml:space="preserve">, and it </w:t>
      </w:r>
      <w:r w:rsidR="00D90131" w:rsidRPr="00D90131">
        <w:rPr>
          <w:highlight w:val="yellow"/>
        </w:rPr>
        <w:t>highlights</w:t>
      </w:r>
      <w:r w:rsidR="00D90131">
        <w:t xml:space="preserve"> those agreements</w:t>
      </w:r>
      <w:r>
        <w:t xml:space="preserve"> that could be adopted for mobile-IAB RACH-less HO:</w:t>
      </w:r>
    </w:p>
    <w:p w14:paraId="2D02E7E6" w14:textId="29FBA3EF" w:rsidR="004570B4" w:rsidRPr="00F91EFD" w:rsidRDefault="004570B4" w:rsidP="00506900">
      <w:pPr>
        <w:spacing w:before="120" w:after="120"/>
        <w:ind w:left="432"/>
        <w:rPr>
          <w:i/>
          <w:iCs/>
        </w:rPr>
      </w:pPr>
      <w:r w:rsidRPr="00F91EFD">
        <w:rPr>
          <w:i/>
          <w:iCs/>
        </w:rPr>
        <w:t>R2#121: RACH-less handover agreements for NTN</w:t>
      </w:r>
    </w:p>
    <w:p w14:paraId="54EB6E75"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Agreements:</w:t>
      </w:r>
    </w:p>
    <w:p w14:paraId="66F97317" w14:textId="77777777" w:rsidR="004570B4" w:rsidRPr="007C2EC4" w:rsidRDefault="004570B4" w:rsidP="004570B4">
      <w:pPr>
        <w:pStyle w:val="Doc-text2"/>
        <w:numPr>
          <w:ilvl w:val="0"/>
          <w:numId w:val="15"/>
        </w:numPr>
        <w:pBdr>
          <w:top w:val="single" w:sz="4" w:space="1" w:color="auto"/>
          <w:left w:val="single" w:sz="4" w:space="4" w:color="auto"/>
          <w:bottom w:val="single" w:sz="4" w:space="1" w:color="auto"/>
          <w:right w:val="single" w:sz="4" w:space="4" w:color="auto"/>
        </w:pBdr>
        <w:rPr>
          <w:sz w:val="18"/>
          <w:szCs w:val="22"/>
        </w:rPr>
      </w:pPr>
      <w:r w:rsidRPr="007C2EC4">
        <w:rPr>
          <w:sz w:val="18"/>
          <w:szCs w:val="22"/>
        </w:rPr>
        <w:t>Support RACH-less Handover in Rel-18.</w:t>
      </w:r>
    </w:p>
    <w:p w14:paraId="0AC12B7A" w14:textId="77777777" w:rsidR="004570B4" w:rsidRPr="007C2EC4" w:rsidRDefault="004570B4" w:rsidP="004570B4">
      <w:pPr>
        <w:pStyle w:val="Doc-text2"/>
        <w:numPr>
          <w:ilvl w:val="0"/>
          <w:numId w:val="15"/>
        </w:numPr>
        <w:pBdr>
          <w:top w:val="single" w:sz="4" w:space="1" w:color="auto"/>
          <w:left w:val="single" w:sz="4" w:space="4" w:color="auto"/>
          <w:bottom w:val="single" w:sz="4" w:space="1" w:color="auto"/>
          <w:right w:val="single" w:sz="4" w:space="4" w:color="auto"/>
        </w:pBdr>
        <w:rPr>
          <w:sz w:val="18"/>
          <w:szCs w:val="22"/>
        </w:rPr>
      </w:pPr>
      <w:r w:rsidRPr="007C2EC4">
        <w:rPr>
          <w:sz w:val="18"/>
          <w:szCs w:val="22"/>
        </w:rPr>
        <w:t>RACH-less Handover in NR NTN is a L3 mobility procedure (FFS if this is combined with the unchanged PCI approach, if supported) and uses the LTE’s RACH-less Handover procedure as a baseline. FFS on TA acquisition</w:t>
      </w:r>
    </w:p>
    <w:p w14:paraId="2FAD8CF0" w14:textId="77777777" w:rsidR="004570B4" w:rsidRPr="007C2EC4" w:rsidRDefault="004570B4" w:rsidP="004570B4">
      <w:pPr>
        <w:pStyle w:val="Doc-text2"/>
        <w:numPr>
          <w:ilvl w:val="0"/>
          <w:numId w:val="15"/>
        </w:numPr>
        <w:pBdr>
          <w:top w:val="single" w:sz="4" w:space="1" w:color="auto"/>
          <w:left w:val="single" w:sz="4" w:space="4" w:color="auto"/>
          <w:bottom w:val="single" w:sz="4" w:space="1" w:color="auto"/>
          <w:right w:val="single" w:sz="4" w:space="4" w:color="auto"/>
        </w:pBdr>
        <w:rPr>
          <w:sz w:val="18"/>
          <w:szCs w:val="22"/>
        </w:rPr>
      </w:pPr>
      <w:r w:rsidRPr="007C2EC4">
        <w:rPr>
          <w:sz w:val="18"/>
          <w:szCs w:val="22"/>
        </w:rPr>
        <w:t>In NTN RACH-less handover, network indicates (implicitly or explicitly) whether NTA in the target cell is identical to the source cell or explicitly provided by the NW.</w:t>
      </w:r>
    </w:p>
    <w:p w14:paraId="30048DB5" w14:textId="77777777" w:rsidR="004570B4" w:rsidRPr="007C2EC4" w:rsidRDefault="004570B4" w:rsidP="004570B4">
      <w:pPr>
        <w:pStyle w:val="Doc-text2"/>
        <w:numPr>
          <w:ilvl w:val="0"/>
          <w:numId w:val="15"/>
        </w:numPr>
        <w:pBdr>
          <w:top w:val="single" w:sz="4" w:space="1" w:color="auto"/>
          <w:left w:val="single" w:sz="4" w:space="4" w:color="auto"/>
          <w:bottom w:val="single" w:sz="4" w:space="1" w:color="auto"/>
          <w:right w:val="single" w:sz="4" w:space="4" w:color="auto"/>
        </w:pBdr>
        <w:rPr>
          <w:sz w:val="18"/>
          <w:szCs w:val="22"/>
        </w:rPr>
      </w:pPr>
      <w:r w:rsidRPr="007C2EC4">
        <w:rPr>
          <w:sz w:val="18"/>
          <w:szCs w:val="22"/>
          <w:highlight w:val="yellow"/>
        </w:rPr>
        <w:t>Support dynamic grant from the target cell for RACH-less PUSCH transmission to reduce random access congestion in the target cell.</w:t>
      </w:r>
      <w:r w:rsidRPr="007C2EC4">
        <w:rPr>
          <w:sz w:val="18"/>
          <w:szCs w:val="22"/>
        </w:rPr>
        <w:t xml:space="preserve"> FFS whether to limit the solution to same feeder link/gateway scenario</w:t>
      </w:r>
    </w:p>
    <w:p w14:paraId="39BD2D46" w14:textId="46CEB354" w:rsidR="004570B4" w:rsidRPr="0097016A" w:rsidRDefault="0097016A" w:rsidP="0097016A">
      <w:pPr>
        <w:spacing w:before="120" w:after="120"/>
        <w:ind w:left="432"/>
      </w:pPr>
      <w:r w:rsidRPr="0097016A">
        <w:t xml:space="preserve">Comment: </w:t>
      </w:r>
      <w:r w:rsidRPr="0097016A">
        <w:rPr>
          <w:highlight w:val="yellow"/>
        </w:rPr>
        <w:t>This</w:t>
      </w:r>
      <w:r w:rsidRPr="0097016A">
        <w:t xml:space="preserve"> was already agreed for mobile IAB RACH-less HO.</w:t>
      </w:r>
    </w:p>
    <w:p w14:paraId="01D048A0" w14:textId="77777777" w:rsidR="0097016A" w:rsidRDefault="0097016A" w:rsidP="004570B4">
      <w:pPr>
        <w:spacing w:before="120" w:after="120"/>
        <w:rPr>
          <w:b/>
          <w:bCs/>
          <w:highlight w:val="yellow"/>
        </w:rPr>
      </w:pPr>
    </w:p>
    <w:p w14:paraId="0D2A7718" w14:textId="7AA3E9B8" w:rsidR="004570B4" w:rsidRPr="00F91EFD" w:rsidRDefault="004570B4" w:rsidP="00506900">
      <w:pPr>
        <w:spacing w:before="120" w:after="120"/>
        <w:ind w:left="432"/>
        <w:rPr>
          <w:i/>
          <w:iCs/>
        </w:rPr>
      </w:pPr>
      <w:r w:rsidRPr="00F91EFD">
        <w:rPr>
          <w:i/>
          <w:iCs/>
        </w:rPr>
        <w:t>R2#121bise: RACH-less handover agreements for NTN</w:t>
      </w:r>
    </w:p>
    <w:p w14:paraId="7B9C1FFA"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Agreements:</w:t>
      </w:r>
    </w:p>
    <w:p w14:paraId="2F83BA2C" w14:textId="77777777" w:rsidR="004570B4" w:rsidRPr="007C2EC4" w:rsidRDefault="004570B4" w:rsidP="004570B4">
      <w:pPr>
        <w:pStyle w:val="Doc-text2"/>
        <w:numPr>
          <w:ilvl w:val="0"/>
          <w:numId w:val="16"/>
        </w:numPr>
        <w:pBdr>
          <w:top w:val="single" w:sz="4" w:space="1" w:color="auto"/>
          <w:left w:val="single" w:sz="4" w:space="4" w:color="auto"/>
          <w:bottom w:val="single" w:sz="4" w:space="1" w:color="auto"/>
          <w:right w:val="single" w:sz="4" w:space="4" w:color="auto"/>
        </w:pBdr>
        <w:rPr>
          <w:sz w:val="18"/>
          <w:szCs w:val="22"/>
        </w:rPr>
      </w:pPr>
      <w:r w:rsidRPr="007C2EC4">
        <w:rPr>
          <w:sz w:val="18"/>
          <w:szCs w:val="22"/>
        </w:rPr>
        <w:t>In Rel-18 we don’t aim at RACH-less HO for NTN-TN mobility</w:t>
      </w:r>
    </w:p>
    <w:p w14:paraId="6B8A09AA" w14:textId="77777777" w:rsidR="004570B4" w:rsidRPr="007C2EC4" w:rsidRDefault="004570B4" w:rsidP="004570B4">
      <w:pPr>
        <w:pStyle w:val="Doc-text2"/>
        <w:numPr>
          <w:ilvl w:val="0"/>
          <w:numId w:val="16"/>
        </w:numPr>
        <w:pBdr>
          <w:top w:val="single" w:sz="4" w:space="1" w:color="auto"/>
          <w:left w:val="single" w:sz="4" w:space="4" w:color="auto"/>
          <w:bottom w:val="single" w:sz="4" w:space="1" w:color="auto"/>
          <w:right w:val="single" w:sz="4" w:space="4" w:color="auto"/>
        </w:pBdr>
        <w:rPr>
          <w:sz w:val="18"/>
          <w:szCs w:val="22"/>
          <w:highlight w:val="yellow"/>
        </w:rPr>
      </w:pPr>
      <w:r w:rsidRPr="007C2EC4">
        <w:rPr>
          <w:sz w:val="18"/>
          <w:szCs w:val="22"/>
          <w:highlight w:val="yellow"/>
        </w:rPr>
        <w:t>For initial UL transmission in RACH-less HO, support pre-allocated grant in RACH-less HO command</w:t>
      </w:r>
    </w:p>
    <w:p w14:paraId="3BDF57F4" w14:textId="77777777" w:rsidR="00C42F1F" w:rsidRPr="00680EE0" w:rsidRDefault="00C42F1F" w:rsidP="00F91EFD">
      <w:pPr>
        <w:spacing w:before="120" w:after="120"/>
        <w:ind w:left="827" w:firstLine="432"/>
        <w:rPr>
          <w:i/>
          <w:iCs/>
        </w:rPr>
      </w:pPr>
      <w:r w:rsidRPr="00680EE0">
        <w:rPr>
          <w:i/>
          <w:iCs/>
        </w:rPr>
        <w:t xml:space="preserve">Comment: </w:t>
      </w:r>
      <w:r w:rsidRPr="00680EE0">
        <w:rPr>
          <w:i/>
          <w:iCs/>
          <w:highlight w:val="yellow"/>
        </w:rPr>
        <w:t>This</w:t>
      </w:r>
      <w:r w:rsidRPr="00680EE0">
        <w:rPr>
          <w:i/>
          <w:iCs/>
        </w:rPr>
        <w:t xml:space="preserve"> was already agreed for mobile IAB RACH-less HO.</w:t>
      </w:r>
    </w:p>
    <w:p w14:paraId="29A1BD3D" w14:textId="77777777" w:rsidR="004570B4" w:rsidRDefault="004570B4" w:rsidP="004570B4">
      <w:pPr>
        <w:pStyle w:val="Comments"/>
      </w:pPr>
    </w:p>
    <w:p w14:paraId="3CE59804"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Agreements via email – from offline 109:</w:t>
      </w:r>
    </w:p>
    <w:p w14:paraId="4F059689" w14:textId="77777777" w:rsidR="004570B4" w:rsidRPr="007C2EC4" w:rsidRDefault="004570B4" w:rsidP="004570B4">
      <w:pPr>
        <w:pStyle w:val="Doc-text2"/>
        <w:numPr>
          <w:ilvl w:val="0"/>
          <w:numId w:val="17"/>
        </w:numPr>
        <w:pBdr>
          <w:top w:val="single" w:sz="4" w:space="1" w:color="auto"/>
          <w:left w:val="single" w:sz="4" w:space="4" w:color="auto"/>
          <w:bottom w:val="single" w:sz="4" w:space="1" w:color="auto"/>
          <w:right w:val="single" w:sz="4" w:space="4" w:color="auto"/>
        </w:pBdr>
        <w:rPr>
          <w:sz w:val="18"/>
          <w:szCs w:val="22"/>
        </w:rPr>
      </w:pPr>
      <w:r w:rsidRPr="007C2EC4">
        <w:rPr>
          <w:sz w:val="18"/>
          <w:szCs w:val="22"/>
        </w:rPr>
        <w:t>NTN RACH-less HO is supported for Intra-satellite handover with the same feeder link. i.e., with same gateway/gNB;</w:t>
      </w:r>
    </w:p>
    <w:p w14:paraId="246CF1BE" w14:textId="77777777" w:rsidR="004570B4" w:rsidRPr="007C2EC4" w:rsidRDefault="004570B4" w:rsidP="004570B4">
      <w:pPr>
        <w:pStyle w:val="Doc-text2"/>
        <w:numPr>
          <w:ilvl w:val="0"/>
          <w:numId w:val="17"/>
        </w:numPr>
        <w:pBdr>
          <w:top w:val="single" w:sz="4" w:space="1" w:color="auto"/>
          <w:left w:val="single" w:sz="4" w:space="4" w:color="auto"/>
          <w:bottom w:val="single" w:sz="4" w:space="1" w:color="auto"/>
          <w:right w:val="single" w:sz="4" w:space="4" w:color="auto"/>
        </w:pBdr>
        <w:rPr>
          <w:sz w:val="18"/>
          <w:szCs w:val="22"/>
        </w:rPr>
      </w:pPr>
      <w:r w:rsidRPr="007C2EC4">
        <w:rPr>
          <w:sz w:val="18"/>
          <w:szCs w:val="22"/>
        </w:rPr>
        <w:t>NTN RACH-less HO can be supported for intra-satellite handover with different feeder links, i.e., with gateway/gNB switch, inter-satellite handover with gateway/gNB switch, and inter-satellite handover with same gateway/gNB.</w:t>
      </w:r>
    </w:p>
    <w:p w14:paraId="0282D60D" w14:textId="77777777" w:rsidR="004570B4" w:rsidRPr="007C2EC4" w:rsidRDefault="004570B4" w:rsidP="004570B4">
      <w:pPr>
        <w:pStyle w:val="Doc-text2"/>
        <w:numPr>
          <w:ilvl w:val="0"/>
          <w:numId w:val="17"/>
        </w:numPr>
        <w:pBdr>
          <w:top w:val="single" w:sz="4" w:space="1" w:color="auto"/>
          <w:left w:val="single" w:sz="4" w:space="4" w:color="auto"/>
          <w:bottom w:val="single" w:sz="4" w:space="1" w:color="auto"/>
          <w:right w:val="single" w:sz="4" w:space="4" w:color="auto"/>
        </w:pBdr>
        <w:rPr>
          <w:sz w:val="18"/>
          <w:szCs w:val="22"/>
        </w:rPr>
      </w:pPr>
      <w:r w:rsidRPr="007C2EC4">
        <w:rPr>
          <w:sz w:val="18"/>
          <w:szCs w:val="22"/>
        </w:rPr>
        <w:t xml:space="preserve">RAN2 confirms the general UE procedure for NTN RACH-less HO </w:t>
      </w:r>
    </w:p>
    <w:p w14:paraId="705A63E5"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r>
      <w:r w:rsidRPr="00627458">
        <w:rPr>
          <w:sz w:val="18"/>
          <w:szCs w:val="22"/>
          <w:highlight w:val="yellow"/>
        </w:rPr>
        <w:t>1.</w:t>
      </w:r>
      <w:r w:rsidRPr="00627458">
        <w:rPr>
          <w:sz w:val="18"/>
          <w:szCs w:val="22"/>
          <w:highlight w:val="yellow"/>
        </w:rPr>
        <w:tab/>
        <w:t>receive a RACH-less HO command which can include pre-allocated grant optionally</w:t>
      </w:r>
      <w:r w:rsidRPr="007C2EC4">
        <w:rPr>
          <w:sz w:val="18"/>
          <w:szCs w:val="22"/>
          <w:highlight w:val="green"/>
        </w:rPr>
        <w:t xml:space="preserve">. </w:t>
      </w:r>
      <w:r w:rsidRPr="007C2EC4">
        <w:rPr>
          <w:sz w:val="18"/>
          <w:szCs w:val="22"/>
        </w:rPr>
        <w:t>FFS N_TA is optional. (RRC)</w:t>
      </w:r>
    </w:p>
    <w:p w14:paraId="56B74AB8"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r>
      <w:r w:rsidRPr="007C2EC4">
        <w:rPr>
          <w:sz w:val="18"/>
          <w:szCs w:val="22"/>
          <w:highlight w:val="green"/>
        </w:rPr>
        <w:t>2.</w:t>
      </w:r>
      <w:r w:rsidRPr="007C2EC4">
        <w:rPr>
          <w:sz w:val="18"/>
          <w:szCs w:val="22"/>
          <w:highlight w:val="green"/>
        </w:rPr>
        <w:tab/>
        <w:t>start timer T304 for the target cell (RRC)</w:t>
      </w:r>
    </w:p>
    <w:p w14:paraId="50BA4F6E"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r>
      <w:r w:rsidRPr="007C2EC4">
        <w:rPr>
          <w:sz w:val="18"/>
          <w:szCs w:val="22"/>
          <w:highlight w:val="green"/>
        </w:rPr>
        <w:t>3.</w:t>
      </w:r>
      <w:r w:rsidRPr="007C2EC4">
        <w:rPr>
          <w:sz w:val="18"/>
          <w:szCs w:val="22"/>
          <w:highlight w:val="green"/>
        </w:rPr>
        <w:tab/>
        <w:t>perform DL and UL synchronization</w:t>
      </w:r>
      <w:r w:rsidRPr="007C2EC4">
        <w:rPr>
          <w:sz w:val="18"/>
          <w:szCs w:val="22"/>
          <w:highlight w:val="yellow"/>
        </w:rPr>
        <w:t>,</w:t>
      </w:r>
      <w:r w:rsidRPr="007C2EC4">
        <w:rPr>
          <w:sz w:val="18"/>
          <w:szCs w:val="22"/>
        </w:rPr>
        <w:t xml:space="preserve"> and start timer T430. FFS how to perform RACH-less UL synchronization to NTN target cell. (RRC, MAC)</w:t>
      </w:r>
    </w:p>
    <w:p w14:paraId="16861FF5"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t>4.</w:t>
      </w:r>
      <w:r w:rsidRPr="007C2EC4">
        <w:rPr>
          <w:sz w:val="18"/>
          <w:szCs w:val="22"/>
        </w:rPr>
        <w:tab/>
        <w:t>start time alignment timer (MAC)</w:t>
      </w:r>
    </w:p>
    <w:p w14:paraId="3284AA2F"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highlight w:val="green"/>
        </w:rPr>
      </w:pPr>
      <w:r w:rsidRPr="007C2EC4">
        <w:rPr>
          <w:sz w:val="18"/>
          <w:szCs w:val="22"/>
        </w:rPr>
        <w:tab/>
      </w:r>
      <w:r w:rsidRPr="007C2EC4">
        <w:rPr>
          <w:sz w:val="18"/>
          <w:szCs w:val="22"/>
          <w:highlight w:val="green"/>
        </w:rPr>
        <w:t>5.</w:t>
      </w:r>
      <w:r w:rsidRPr="007C2EC4">
        <w:rPr>
          <w:sz w:val="18"/>
          <w:szCs w:val="22"/>
          <w:highlight w:val="green"/>
        </w:rPr>
        <w:tab/>
        <w:t>monitor target cell PDCCH for dynamic grant if pre-allocated grant is not configured in RACH-less HO command (MAC, PHY)</w:t>
      </w:r>
    </w:p>
    <w:p w14:paraId="26819F0C"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highlight w:val="green"/>
        </w:rPr>
      </w:pPr>
      <w:r w:rsidRPr="007C2EC4">
        <w:rPr>
          <w:sz w:val="18"/>
          <w:szCs w:val="22"/>
        </w:rPr>
        <w:tab/>
      </w:r>
      <w:r w:rsidRPr="007C2EC4">
        <w:rPr>
          <w:sz w:val="18"/>
          <w:szCs w:val="22"/>
          <w:highlight w:val="green"/>
        </w:rPr>
        <w:t>6.</w:t>
      </w:r>
      <w:r w:rsidRPr="007C2EC4">
        <w:rPr>
          <w:sz w:val="18"/>
          <w:szCs w:val="22"/>
          <w:highlight w:val="green"/>
        </w:rPr>
        <w:tab/>
        <w:t>send initial UL transmission including RRCReconfigurationComplete message using the available UL grant (RRC, MAC, PHY)</w:t>
      </w:r>
    </w:p>
    <w:p w14:paraId="55BF5E42"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r>
      <w:r w:rsidRPr="007C2EC4">
        <w:rPr>
          <w:sz w:val="18"/>
          <w:szCs w:val="22"/>
          <w:highlight w:val="green"/>
        </w:rPr>
        <w:t>7.</w:t>
      </w:r>
      <w:r w:rsidRPr="007C2EC4">
        <w:rPr>
          <w:sz w:val="18"/>
          <w:szCs w:val="22"/>
          <w:highlight w:val="green"/>
        </w:rPr>
        <w:tab/>
        <w:t>consider RACH-less HO is completed upon receiving NW confirmation</w:t>
      </w:r>
      <w:r w:rsidRPr="007C2EC4">
        <w:rPr>
          <w:sz w:val="18"/>
          <w:szCs w:val="22"/>
        </w:rPr>
        <w:t>. FFS how to confirm RACH-less HO is successfully completed. (RRC, MAC)</w:t>
      </w:r>
    </w:p>
    <w:p w14:paraId="298FEE15"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r>
      <w:r w:rsidRPr="007C2EC4">
        <w:rPr>
          <w:sz w:val="18"/>
          <w:szCs w:val="22"/>
          <w:highlight w:val="green"/>
        </w:rPr>
        <w:t>8.</w:t>
      </w:r>
      <w:r w:rsidRPr="007C2EC4">
        <w:rPr>
          <w:sz w:val="18"/>
          <w:szCs w:val="22"/>
          <w:highlight w:val="green"/>
        </w:rPr>
        <w:tab/>
        <w:t>stop timer T304 for the target cell. (RRC)</w:t>
      </w:r>
    </w:p>
    <w:p w14:paraId="11AD68E2"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t>FFS whether to release UL grant if pre-allocated after RACH-less HO completion</w:t>
      </w:r>
    </w:p>
    <w:p w14:paraId="449D63FE"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t>FFS RACH-less HO failure handling, e.g. whether UE fallback to RACH-based HO to the target cell</w:t>
      </w:r>
    </w:p>
    <w:p w14:paraId="6511E276"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t>FFS procedure for RACH-less HO combined with PCI unchanged or CHO if supported</w:t>
      </w:r>
    </w:p>
    <w:p w14:paraId="7A29A4E0"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4.</w:t>
      </w:r>
      <w:r w:rsidRPr="007C2EC4">
        <w:rPr>
          <w:sz w:val="18"/>
          <w:szCs w:val="22"/>
        </w:rPr>
        <w:tab/>
      </w:r>
      <w:r w:rsidRPr="007C2EC4">
        <w:rPr>
          <w:sz w:val="18"/>
          <w:szCs w:val="22"/>
          <w:highlight w:val="yellow"/>
        </w:rPr>
        <w:t>The pre-allocated grant is provided as type-1 CG</w:t>
      </w:r>
    </w:p>
    <w:p w14:paraId="2AA727AD"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5.</w:t>
      </w:r>
      <w:r w:rsidRPr="007C2EC4">
        <w:rPr>
          <w:sz w:val="18"/>
          <w:szCs w:val="22"/>
        </w:rPr>
        <w:tab/>
        <w:t>Send an LS to RAN1 informing RAN2 agreements on NTN RACH-less HO and check RAN1 views on the following aspects:</w:t>
      </w:r>
    </w:p>
    <w:p w14:paraId="69A9ECE4"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highlight w:val="cyan"/>
        </w:rPr>
      </w:pPr>
      <w:r w:rsidRPr="007C2EC4">
        <w:rPr>
          <w:sz w:val="18"/>
          <w:szCs w:val="22"/>
        </w:rPr>
        <w:tab/>
      </w:r>
      <w:r w:rsidRPr="007C2EC4">
        <w:rPr>
          <w:sz w:val="18"/>
          <w:szCs w:val="22"/>
          <w:highlight w:val="cyan"/>
        </w:rPr>
        <w:t>1. whether the pre-allocated grant is provided with association to SSBs; if so, whether a RSRP threshold is configured for SSB selection.</w:t>
      </w:r>
    </w:p>
    <w:p w14:paraId="36F1C6E3" w14:textId="77777777" w:rsidR="004570B4" w:rsidRPr="005B0172" w:rsidRDefault="004570B4" w:rsidP="004570B4">
      <w:pPr>
        <w:pStyle w:val="Doc-text2"/>
        <w:pBdr>
          <w:top w:val="single" w:sz="4" w:space="1" w:color="auto"/>
          <w:left w:val="single" w:sz="4" w:space="4" w:color="auto"/>
          <w:bottom w:val="single" w:sz="4" w:space="1" w:color="auto"/>
          <w:right w:val="single" w:sz="4" w:space="4" w:color="auto"/>
        </w:pBdr>
        <w:rPr>
          <w:sz w:val="18"/>
          <w:szCs w:val="22"/>
          <w:highlight w:val="yellow"/>
        </w:rPr>
      </w:pPr>
      <w:r w:rsidRPr="007C2EC4">
        <w:rPr>
          <w:sz w:val="18"/>
          <w:szCs w:val="22"/>
        </w:rPr>
        <w:tab/>
      </w:r>
      <w:r w:rsidRPr="005B0172">
        <w:rPr>
          <w:sz w:val="18"/>
          <w:szCs w:val="22"/>
          <w:highlight w:val="cyan"/>
        </w:rPr>
        <w:t xml:space="preserve">2. to monitor target cell PDCCH for dynamic grant for initial UL transmission, whether </w:t>
      </w:r>
      <w:r w:rsidRPr="005B0172">
        <w:rPr>
          <w:sz w:val="18"/>
          <w:szCs w:val="22"/>
          <w:highlight w:val="yellow"/>
        </w:rPr>
        <w:t>beam indication can be provided in RACH-less HO command.</w:t>
      </w:r>
    </w:p>
    <w:p w14:paraId="7467C70E"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b/>
      </w:r>
      <w:r w:rsidRPr="007C2EC4">
        <w:rPr>
          <w:sz w:val="18"/>
          <w:szCs w:val="22"/>
          <w:highlight w:val="cyan"/>
        </w:rPr>
        <w:t>3. power control for initial UL transmission</w:t>
      </w:r>
    </w:p>
    <w:p w14:paraId="75B2FFA0" w14:textId="10669D84" w:rsidR="005B0172" w:rsidRPr="00680EE0" w:rsidRDefault="00C42F1F" w:rsidP="00F91EFD">
      <w:pPr>
        <w:spacing w:before="120" w:after="120"/>
        <w:ind w:left="1259"/>
        <w:rPr>
          <w:i/>
          <w:iCs/>
        </w:rPr>
      </w:pPr>
      <w:r w:rsidRPr="00680EE0">
        <w:rPr>
          <w:i/>
          <w:iCs/>
        </w:rPr>
        <w:lastRenderedPageBreak/>
        <w:t xml:space="preserve">Comment: </w:t>
      </w:r>
    </w:p>
    <w:p w14:paraId="077CA3DF" w14:textId="7B04AB8F" w:rsidR="00C42F1F" w:rsidRPr="00680EE0" w:rsidRDefault="00C42F1F" w:rsidP="00F91EFD">
      <w:pPr>
        <w:pStyle w:val="ListParagraph"/>
        <w:numPr>
          <w:ilvl w:val="1"/>
          <w:numId w:val="10"/>
        </w:numPr>
        <w:spacing w:before="120" w:after="120"/>
        <w:ind w:left="2267"/>
        <w:rPr>
          <w:i/>
          <w:iCs/>
        </w:rPr>
      </w:pPr>
      <w:r w:rsidRPr="00680EE0">
        <w:rPr>
          <w:i/>
          <w:iCs/>
          <w:highlight w:val="green"/>
        </w:rPr>
        <w:t>This</w:t>
      </w:r>
      <w:r w:rsidRPr="00680EE0">
        <w:rPr>
          <w:i/>
          <w:iCs/>
        </w:rPr>
        <w:t xml:space="preserve"> </w:t>
      </w:r>
      <w:r w:rsidR="005B0172" w:rsidRPr="00680EE0">
        <w:rPr>
          <w:i/>
          <w:iCs/>
        </w:rPr>
        <w:t xml:space="preserve">can be adopted for </w:t>
      </w:r>
      <w:r w:rsidRPr="00680EE0">
        <w:rPr>
          <w:i/>
          <w:iCs/>
        </w:rPr>
        <w:t>mobile IAB RACH-less HO.</w:t>
      </w:r>
    </w:p>
    <w:p w14:paraId="33DC899D" w14:textId="77777777" w:rsidR="005B0172" w:rsidRPr="00680EE0" w:rsidRDefault="005B0172" w:rsidP="00F91EFD">
      <w:pPr>
        <w:pStyle w:val="ListParagraph"/>
        <w:numPr>
          <w:ilvl w:val="1"/>
          <w:numId w:val="10"/>
        </w:numPr>
        <w:spacing w:before="120" w:after="120"/>
        <w:ind w:left="2267"/>
        <w:rPr>
          <w:i/>
          <w:iCs/>
        </w:rPr>
      </w:pPr>
      <w:r w:rsidRPr="00680EE0">
        <w:rPr>
          <w:i/>
          <w:iCs/>
          <w:highlight w:val="yellow"/>
        </w:rPr>
        <w:t>This</w:t>
      </w:r>
      <w:r w:rsidRPr="00680EE0">
        <w:rPr>
          <w:i/>
          <w:iCs/>
        </w:rPr>
        <w:t xml:space="preserve"> was already agreed for mobile IAB RACH-less HO.</w:t>
      </w:r>
    </w:p>
    <w:p w14:paraId="54473BEA" w14:textId="10EDF013" w:rsidR="005B0172" w:rsidRPr="00680EE0" w:rsidRDefault="005B0172" w:rsidP="00F91EFD">
      <w:pPr>
        <w:pStyle w:val="ListParagraph"/>
        <w:numPr>
          <w:ilvl w:val="1"/>
          <w:numId w:val="10"/>
        </w:numPr>
        <w:spacing w:before="120" w:after="120"/>
        <w:ind w:left="2267"/>
        <w:rPr>
          <w:i/>
          <w:iCs/>
        </w:rPr>
      </w:pPr>
      <w:r w:rsidRPr="00680EE0">
        <w:rPr>
          <w:i/>
          <w:iCs/>
          <w:highlight w:val="cyan"/>
        </w:rPr>
        <w:t>These issues</w:t>
      </w:r>
      <w:r w:rsidRPr="00680EE0">
        <w:rPr>
          <w:i/>
          <w:iCs/>
        </w:rPr>
        <w:t xml:space="preserve"> also apply to mobile IAB RACH-less HO.</w:t>
      </w:r>
    </w:p>
    <w:p w14:paraId="2A1A97C5" w14:textId="77777777" w:rsidR="004570B4" w:rsidRDefault="004570B4" w:rsidP="004570B4">
      <w:pPr>
        <w:pStyle w:val="Comments"/>
      </w:pPr>
    </w:p>
    <w:p w14:paraId="593D3AEE"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Agreements online:</w:t>
      </w:r>
    </w:p>
    <w:p w14:paraId="1D0A988D" w14:textId="77777777" w:rsidR="004570B4" w:rsidRPr="007C2EC4" w:rsidRDefault="004570B4" w:rsidP="004570B4">
      <w:pPr>
        <w:pStyle w:val="Doc-text2"/>
        <w:numPr>
          <w:ilvl w:val="0"/>
          <w:numId w:val="18"/>
        </w:numPr>
        <w:pBdr>
          <w:top w:val="single" w:sz="4" w:space="1" w:color="auto"/>
          <w:left w:val="single" w:sz="4" w:space="4" w:color="auto"/>
          <w:bottom w:val="single" w:sz="4" w:space="1" w:color="auto"/>
          <w:right w:val="single" w:sz="4" w:space="4" w:color="auto"/>
        </w:pBdr>
        <w:rPr>
          <w:sz w:val="18"/>
          <w:szCs w:val="22"/>
        </w:rPr>
      </w:pPr>
      <w:r w:rsidRPr="003B2D03">
        <w:rPr>
          <w:sz w:val="18"/>
          <w:szCs w:val="22"/>
          <w:highlight w:val="green"/>
        </w:rPr>
        <w:t>At least for pre-allocated grant, for the confirmation of RACH-less HO completion we reuse of LTE approach, i.e., UE Contention Resolution Identity MAC CE is used but UE ignores the content of this field.</w:t>
      </w:r>
      <w:r w:rsidRPr="007C2EC4">
        <w:rPr>
          <w:sz w:val="18"/>
          <w:szCs w:val="22"/>
        </w:rPr>
        <w:t xml:space="preserve"> FFS if anything else is needed for dynamic grant</w:t>
      </w:r>
    </w:p>
    <w:p w14:paraId="3A8B15C4" w14:textId="77777777" w:rsidR="004570B4" w:rsidRPr="007C2EC4" w:rsidRDefault="004570B4" w:rsidP="004570B4">
      <w:pPr>
        <w:pStyle w:val="Doc-text2"/>
        <w:numPr>
          <w:ilvl w:val="0"/>
          <w:numId w:val="18"/>
        </w:numPr>
        <w:pBdr>
          <w:top w:val="single" w:sz="4" w:space="1" w:color="auto"/>
          <w:left w:val="single" w:sz="4" w:space="4" w:color="auto"/>
          <w:bottom w:val="single" w:sz="4" w:space="1" w:color="auto"/>
          <w:right w:val="single" w:sz="4" w:space="4" w:color="auto"/>
        </w:pBdr>
        <w:rPr>
          <w:sz w:val="18"/>
          <w:szCs w:val="22"/>
        </w:rPr>
      </w:pPr>
      <w:r w:rsidRPr="007C2EC4">
        <w:rPr>
          <w:sz w:val="18"/>
          <w:szCs w:val="22"/>
        </w:rPr>
        <w:t>Consider to support combining RACH-less HO with time-based CHO for NTN, taking into account the 1) validity of pre-allocated grant and potential waste of reserved resource; 2) when/how to provide dynamic grant in PDCCH.</w:t>
      </w:r>
    </w:p>
    <w:p w14:paraId="3B59E204" w14:textId="620C6409" w:rsidR="003B2D03" w:rsidRPr="00680EE0" w:rsidRDefault="003B2D03" w:rsidP="00F91EFD">
      <w:pPr>
        <w:spacing w:before="120" w:after="120"/>
        <w:ind w:left="827" w:firstLine="432"/>
        <w:rPr>
          <w:i/>
          <w:iCs/>
        </w:rPr>
      </w:pPr>
      <w:r w:rsidRPr="00680EE0">
        <w:rPr>
          <w:i/>
          <w:iCs/>
        </w:rPr>
        <w:t xml:space="preserve">Comment: </w:t>
      </w:r>
      <w:r w:rsidRPr="00680EE0">
        <w:rPr>
          <w:i/>
          <w:iCs/>
          <w:highlight w:val="green"/>
        </w:rPr>
        <w:t>This</w:t>
      </w:r>
      <w:r w:rsidRPr="00680EE0">
        <w:rPr>
          <w:i/>
          <w:iCs/>
        </w:rPr>
        <w:t xml:space="preserve"> can be adopted for mobile IAB RACH-less HO.</w:t>
      </w:r>
    </w:p>
    <w:p w14:paraId="04CED10E" w14:textId="77777777" w:rsidR="004570B4" w:rsidRDefault="004570B4" w:rsidP="004570B4">
      <w:pPr>
        <w:pStyle w:val="Comments"/>
      </w:pPr>
    </w:p>
    <w:p w14:paraId="1603816C" w14:textId="5F5FD60F" w:rsidR="004570B4" w:rsidRPr="00F91EFD" w:rsidRDefault="004570B4" w:rsidP="00976F08">
      <w:pPr>
        <w:spacing w:before="120" w:after="120"/>
        <w:ind w:left="432"/>
        <w:rPr>
          <w:i/>
          <w:iCs/>
        </w:rPr>
      </w:pPr>
      <w:r w:rsidRPr="00F91EFD">
        <w:rPr>
          <w:i/>
          <w:iCs/>
        </w:rPr>
        <w:t>R2#122: RACH-less handover agreements for NTN</w:t>
      </w:r>
    </w:p>
    <w:p w14:paraId="076B3BA2"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Agreements:</w:t>
      </w:r>
    </w:p>
    <w:p w14:paraId="37DB7D7C" w14:textId="77777777" w:rsidR="004570B4" w:rsidRPr="006E3F49" w:rsidRDefault="004570B4" w:rsidP="004570B4">
      <w:pPr>
        <w:pStyle w:val="Doc-text2"/>
        <w:numPr>
          <w:ilvl w:val="0"/>
          <w:numId w:val="19"/>
        </w:numPr>
        <w:pBdr>
          <w:top w:val="single" w:sz="4" w:space="1" w:color="auto"/>
          <w:left w:val="single" w:sz="4" w:space="4" w:color="auto"/>
          <w:bottom w:val="single" w:sz="4" w:space="1" w:color="auto"/>
          <w:right w:val="single" w:sz="4" w:space="4" w:color="auto"/>
        </w:pBdr>
        <w:rPr>
          <w:sz w:val="18"/>
          <w:szCs w:val="22"/>
          <w:highlight w:val="magenta"/>
        </w:rPr>
      </w:pPr>
      <w:r w:rsidRPr="006E3F49">
        <w:rPr>
          <w:sz w:val="18"/>
          <w:szCs w:val="22"/>
          <w:highlight w:val="magenta"/>
        </w:rPr>
        <w:t>In NTN RACH-less handover, NW either indicates NTA in the target cell is identical to the source cell, or the NTA explicitly provided by the NW is 0. RAN2 will not discuss the case where NTA does not equal to 0</w:t>
      </w:r>
    </w:p>
    <w:p w14:paraId="7A69CA65" w14:textId="77777777" w:rsidR="004570B4" w:rsidRDefault="004570B4" w:rsidP="004570B4">
      <w:pPr>
        <w:pStyle w:val="Comments"/>
      </w:pPr>
    </w:p>
    <w:p w14:paraId="4786886A" w14:textId="77777777" w:rsidR="004570B4" w:rsidRPr="007C2EC4" w:rsidRDefault="004570B4" w:rsidP="004570B4">
      <w:pPr>
        <w:pStyle w:val="Doc-text2"/>
        <w:pBdr>
          <w:top w:val="single" w:sz="4" w:space="1" w:color="auto"/>
          <w:left w:val="single" w:sz="4" w:space="4" w:color="auto"/>
          <w:bottom w:val="single" w:sz="4" w:space="1" w:color="auto"/>
          <w:right w:val="single" w:sz="4" w:space="4" w:color="auto"/>
        </w:pBdr>
        <w:rPr>
          <w:sz w:val="18"/>
          <w:szCs w:val="22"/>
        </w:rPr>
      </w:pPr>
      <w:r w:rsidRPr="007C2EC4">
        <w:rPr>
          <w:sz w:val="18"/>
          <w:szCs w:val="22"/>
        </w:rPr>
        <w:t>Agreements:</w:t>
      </w:r>
    </w:p>
    <w:p w14:paraId="0F2C30F0" w14:textId="77777777" w:rsidR="004570B4" w:rsidRPr="000475DE" w:rsidRDefault="004570B4" w:rsidP="004570B4">
      <w:pPr>
        <w:pStyle w:val="Doc-text2"/>
        <w:numPr>
          <w:ilvl w:val="0"/>
          <w:numId w:val="20"/>
        </w:numPr>
        <w:pBdr>
          <w:top w:val="single" w:sz="4" w:space="1" w:color="auto"/>
          <w:left w:val="single" w:sz="4" w:space="4" w:color="auto"/>
          <w:bottom w:val="single" w:sz="4" w:space="1" w:color="auto"/>
          <w:right w:val="single" w:sz="4" w:space="4" w:color="auto"/>
        </w:pBdr>
        <w:rPr>
          <w:sz w:val="18"/>
          <w:szCs w:val="22"/>
          <w:highlight w:val="green"/>
        </w:rPr>
      </w:pPr>
      <w:r w:rsidRPr="000475DE">
        <w:rPr>
          <w:sz w:val="18"/>
          <w:szCs w:val="22"/>
          <w:highlight w:val="green"/>
        </w:rPr>
        <w:t>From RAN2 perspective synchronization among source and target cells is not an issue in NTN RACH-less HO</w:t>
      </w:r>
    </w:p>
    <w:p w14:paraId="2D5E2647" w14:textId="77777777" w:rsidR="004570B4" w:rsidRPr="000475DE" w:rsidRDefault="004570B4" w:rsidP="004570B4">
      <w:pPr>
        <w:pStyle w:val="Doc-text2"/>
        <w:numPr>
          <w:ilvl w:val="0"/>
          <w:numId w:val="20"/>
        </w:numPr>
        <w:pBdr>
          <w:top w:val="single" w:sz="4" w:space="1" w:color="auto"/>
          <w:left w:val="single" w:sz="4" w:space="4" w:color="auto"/>
          <w:bottom w:val="single" w:sz="4" w:space="1" w:color="auto"/>
          <w:right w:val="single" w:sz="4" w:space="4" w:color="auto"/>
        </w:pBdr>
        <w:rPr>
          <w:sz w:val="18"/>
          <w:szCs w:val="22"/>
          <w:highlight w:val="green"/>
        </w:rPr>
      </w:pPr>
      <w:r w:rsidRPr="000475DE">
        <w:rPr>
          <w:sz w:val="18"/>
          <w:szCs w:val="22"/>
          <w:highlight w:val="green"/>
        </w:rPr>
        <w:t>Release pre-allocated UL grant after RACH-less HO completion</w:t>
      </w:r>
    </w:p>
    <w:p w14:paraId="0FEF4963" w14:textId="77777777" w:rsidR="004570B4" w:rsidRPr="007C2EC4" w:rsidRDefault="004570B4" w:rsidP="004570B4">
      <w:pPr>
        <w:pStyle w:val="Doc-text2"/>
        <w:numPr>
          <w:ilvl w:val="0"/>
          <w:numId w:val="20"/>
        </w:numPr>
        <w:pBdr>
          <w:top w:val="single" w:sz="4" w:space="1" w:color="auto"/>
          <w:left w:val="single" w:sz="4" w:space="4" w:color="auto"/>
          <w:bottom w:val="single" w:sz="4" w:space="1" w:color="auto"/>
          <w:right w:val="single" w:sz="4" w:space="4" w:color="auto"/>
        </w:pBdr>
        <w:rPr>
          <w:sz w:val="18"/>
          <w:szCs w:val="22"/>
        </w:rPr>
      </w:pPr>
      <w:r w:rsidRPr="000475DE">
        <w:rPr>
          <w:sz w:val="18"/>
          <w:szCs w:val="22"/>
          <w:highlight w:val="green"/>
        </w:rPr>
        <w:t>LTE approach (of confirming the HO completion) is reused for both pre-allocated grant and dynamic grant.</w:t>
      </w:r>
      <w:r w:rsidRPr="007C2EC4">
        <w:rPr>
          <w:sz w:val="18"/>
          <w:szCs w:val="22"/>
        </w:rPr>
        <w:t xml:space="preserve"> FFS any enhancement to the confirmation of RACH-less HO completion, e.g. the NW does not send the UE Contention Resolution Identity MAC CE, and sends PDCCH/PDSCH addressed to C-RNTI</w:t>
      </w:r>
    </w:p>
    <w:p w14:paraId="69DF1B67" w14:textId="77777777" w:rsidR="004570B4" w:rsidRPr="007C2EC4" w:rsidRDefault="004570B4" w:rsidP="004570B4">
      <w:pPr>
        <w:pStyle w:val="Doc-text2"/>
        <w:numPr>
          <w:ilvl w:val="0"/>
          <w:numId w:val="20"/>
        </w:numPr>
        <w:pBdr>
          <w:top w:val="single" w:sz="4" w:space="1" w:color="auto"/>
          <w:left w:val="single" w:sz="4" w:space="4" w:color="auto"/>
          <w:bottom w:val="single" w:sz="4" w:space="1" w:color="auto"/>
          <w:right w:val="single" w:sz="4" w:space="4" w:color="auto"/>
        </w:pBdr>
        <w:rPr>
          <w:sz w:val="18"/>
          <w:szCs w:val="22"/>
        </w:rPr>
      </w:pPr>
      <w:r w:rsidRPr="007C2EC4">
        <w:rPr>
          <w:sz w:val="18"/>
          <w:szCs w:val="22"/>
        </w:rPr>
        <w:t xml:space="preserve">Remove “FFS how to perform RACH-less UL synchronization to NTN target cell”, </w:t>
      </w:r>
      <w:r w:rsidRPr="000475DE">
        <w:rPr>
          <w:sz w:val="18"/>
          <w:szCs w:val="22"/>
          <w:highlight w:val="green"/>
        </w:rPr>
        <w:t>RAN2 assumes the UL sync handling in the target cell is the same in RACH-based HO and RACH-less HO</w:t>
      </w:r>
      <w:r w:rsidRPr="007C2EC4">
        <w:rPr>
          <w:sz w:val="18"/>
          <w:szCs w:val="22"/>
        </w:rPr>
        <w:t>, except how to acquire NTA (FFS on the spec impact , if any)</w:t>
      </w:r>
    </w:p>
    <w:p w14:paraId="0A031CBA" w14:textId="77777777" w:rsidR="006E3F49" w:rsidRPr="00680EE0" w:rsidRDefault="006E3F49" w:rsidP="00F91EFD">
      <w:pPr>
        <w:spacing w:before="120" w:after="120"/>
        <w:ind w:left="1259"/>
        <w:rPr>
          <w:i/>
          <w:iCs/>
        </w:rPr>
      </w:pPr>
      <w:r w:rsidRPr="00680EE0">
        <w:rPr>
          <w:i/>
          <w:iCs/>
        </w:rPr>
        <w:t xml:space="preserve">Comments: </w:t>
      </w:r>
    </w:p>
    <w:p w14:paraId="411FEEE0" w14:textId="3F2E2490" w:rsidR="006E3F49" w:rsidRPr="00680EE0" w:rsidRDefault="006E3F49" w:rsidP="00F91EFD">
      <w:pPr>
        <w:pStyle w:val="ListParagraph"/>
        <w:numPr>
          <w:ilvl w:val="1"/>
          <w:numId w:val="10"/>
        </w:numPr>
        <w:spacing w:before="120" w:after="120"/>
        <w:ind w:left="2267"/>
        <w:rPr>
          <w:i/>
          <w:iCs/>
        </w:rPr>
      </w:pPr>
      <w:r w:rsidRPr="00680EE0">
        <w:rPr>
          <w:i/>
          <w:iCs/>
          <w:highlight w:val="magenta"/>
        </w:rPr>
        <w:t>This</w:t>
      </w:r>
      <w:r w:rsidRPr="00680EE0">
        <w:rPr>
          <w:i/>
          <w:iCs/>
        </w:rPr>
        <w:t xml:space="preserve"> may not be relevant for mobile IAB RACH-less HO since RAN2 agreed that delta-TA = 0 is assumed.</w:t>
      </w:r>
    </w:p>
    <w:p w14:paraId="3471C08C" w14:textId="02819AE5" w:rsidR="006E3F49" w:rsidRPr="00680EE0" w:rsidRDefault="006E3F49" w:rsidP="00F91EFD">
      <w:pPr>
        <w:pStyle w:val="ListParagraph"/>
        <w:numPr>
          <w:ilvl w:val="1"/>
          <w:numId w:val="10"/>
        </w:numPr>
        <w:spacing w:before="120" w:after="120"/>
        <w:ind w:left="2267"/>
        <w:rPr>
          <w:i/>
          <w:iCs/>
        </w:rPr>
      </w:pPr>
      <w:r w:rsidRPr="00680EE0">
        <w:rPr>
          <w:i/>
          <w:iCs/>
          <w:highlight w:val="green"/>
        </w:rPr>
        <w:t>This</w:t>
      </w:r>
      <w:r w:rsidRPr="00680EE0">
        <w:rPr>
          <w:i/>
          <w:iCs/>
        </w:rPr>
        <w:t xml:space="preserve"> can be adopted for mobile IAB RACH-less HO.</w:t>
      </w:r>
    </w:p>
    <w:p w14:paraId="2484DFAF" w14:textId="77777777" w:rsidR="004570B4" w:rsidRDefault="004570B4" w:rsidP="004570B4">
      <w:pPr>
        <w:spacing w:before="120" w:after="120"/>
        <w:rPr>
          <w:b/>
          <w:bCs/>
          <w:highlight w:val="yellow"/>
        </w:rPr>
      </w:pPr>
    </w:p>
    <w:p w14:paraId="51D31D69" w14:textId="195C6A07" w:rsidR="00EC775E" w:rsidRPr="00014703" w:rsidRDefault="00EC775E" w:rsidP="00EC775E">
      <w:pPr>
        <w:spacing w:before="120" w:after="120"/>
        <w:rPr>
          <w:b/>
          <w:bCs/>
        </w:rPr>
      </w:pPr>
      <w:r w:rsidRPr="00014703">
        <w:rPr>
          <w:b/>
          <w:bCs/>
        </w:rPr>
        <w:t xml:space="preserve">Observation </w:t>
      </w:r>
      <w:r>
        <w:rPr>
          <w:b/>
          <w:bCs/>
        </w:rPr>
        <w:t>3</w:t>
      </w:r>
      <w:r w:rsidRPr="00014703">
        <w:rPr>
          <w:b/>
          <w:bCs/>
        </w:rPr>
        <w:t xml:space="preserve">: </w:t>
      </w:r>
      <w:r>
        <w:rPr>
          <w:b/>
          <w:bCs/>
        </w:rPr>
        <w:t>A large number of agreements for NTN RACH-less HO can be adopted for mIAB RACH-less HO.</w:t>
      </w:r>
      <w:r w:rsidRPr="00014703">
        <w:rPr>
          <w:b/>
          <w:bCs/>
        </w:rPr>
        <w:t xml:space="preserve"> </w:t>
      </w:r>
    </w:p>
    <w:p w14:paraId="4A884D4F" w14:textId="77777777" w:rsidR="00650AE8" w:rsidRDefault="00650AE8" w:rsidP="00EC775E">
      <w:pPr>
        <w:spacing w:before="120" w:after="120"/>
      </w:pPr>
    </w:p>
    <w:p w14:paraId="2B1C3743" w14:textId="01CA576B" w:rsidR="00EC775E" w:rsidRDefault="00EC775E" w:rsidP="00EC775E">
      <w:pPr>
        <w:spacing w:before="120" w:after="120"/>
      </w:pPr>
      <w:r>
        <w:t xml:space="preserve">The following identifiers RAN2 agreements for mobile-IAB RACH-less HO, which </w:t>
      </w:r>
      <w:r w:rsidR="005913BD">
        <w:t xml:space="preserve">have presently not been considered in the NTN effort but </w:t>
      </w:r>
      <w:r>
        <w:t>need to be considered on top:</w:t>
      </w:r>
    </w:p>
    <w:tbl>
      <w:tblPr>
        <w:tblStyle w:val="TableGrid"/>
        <w:tblW w:w="0" w:type="auto"/>
        <w:tblLook w:val="04A0" w:firstRow="1" w:lastRow="0" w:firstColumn="1" w:lastColumn="0" w:noHBand="0" w:noVBand="1"/>
      </w:tblPr>
      <w:tblGrid>
        <w:gridCol w:w="9631"/>
      </w:tblGrid>
      <w:tr w:rsidR="005913BD" w14:paraId="1A8B46C3" w14:textId="77777777" w:rsidTr="005913BD">
        <w:tc>
          <w:tcPr>
            <w:tcW w:w="9631" w:type="dxa"/>
          </w:tcPr>
          <w:p w14:paraId="64D355B1" w14:textId="261A309F" w:rsidR="005913BD" w:rsidRPr="005913BD" w:rsidRDefault="005913BD" w:rsidP="005913BD">
            <w:pPr>
              <w:pStyle w:val="Agreement"/>
              <w:tabs>
                <w:tab w:val="clear" w:pos="-9640"/>
                <w:tab w:val="num" w:pos="1619"/>
              </w:tabs>
              <w:spacing w:before="120" w:after="120"/>
              <w:ind w:left="360"/>
              <w:rPr>
                <w:sz w:val="18"/>
                <w:szCs w:val="22"/>
              </w:rPr>
            </w:pPr>
            <w:r w:rsidRPr="005913BD">
              <w:rPr>
                <w:sz w:val="18"/>
                <w:szCs w:val="22"/>
              </w:rPr>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tc>
      </w:tr>
    </w:tbl>
    <w:p w14:paraId="4A496E83" w14:textId="34C274AD" w:rsidR="00342D78" w:rsidRDefault="005913BD" w:rsidP="003A663B">
      <w:pPr>
        <w:spacing w:before="120" w:after="120"/>
      </w:pPr>
      <w:r>
        <w:t>This enhancement is minor and does not require a lot of specification effort.</w:t>
      </w:r>
    </w:p>
    <w:p w14:paraId="3E20DF95" w14:textId="6A81B94C" w:rsidR="005913BD" w:rsidRPr="00014703" w:rsidRDefault="005913BD" w:rsidP="005913BD">
      <w:pPr>
        <w:spacing w:before="120" w:after="120"/>
        <w:rPr>
          <w:b/>
          <w:bCs/>
        </w:rPr>
      </w:pPr>
      <w:r w:rsidRPr="00014703">
        <w:rPr>
          <w:b/>
          <w:bCs/>
        </w:rPr>
        <w:t xml:space="preserve">Observation </w:t>
      </w:r>
      <w:r>
        <w:rPr>
          <w:b/>
          <w:bCs/>
        </w:rPr>
        <w:t>4</w:t>
      </w:r>
      <w:r w:rsidRPr="00014703">
        <w:rPr>
          <w:b/>
          <w:bCs/>
        </w:rPr>
        <w:t xml:space="preserve">: </w:t>
      </w:r>
      <w:r>
        <w:rPr>
          <w:b/>
          <w:bCs/>
        </w:rPr>
        <w:t>There are only minor additional enhancements needed for mIAB RACH-less HO on top of NTN RACH-less HO</w:t>
      </w:r>
      <w:r w:rsidR="00976F08">
        <w:rPr>
          <w:b/>
          <w:bCs/>
        </w:rPr>
        <w:t xml:space="preserve"> such as including a beam indication in the HO command</w:t>
      </w:r>
      <w:r>
        <w:rPr>
          <w:b/>
          <w:bCs/>
        </w:rPr>
        <w:t>.</w:t>
      </w:r>
      <w:r w:rsidRPr="00014703">
        <w:rPr>
          <w:b/>
          <w:bCs/>
        </w:rPr>
        <w:t xml:space="preserve"> </w:t>
      </w:r>
    </w:p>
    <w:p w14:paraId="7F2C018C" w14:textId="77777777" w:rsidR="00650AE8" w:rsidRDefault="00650AE8" w:rsidP="00976F08">
      <w:pPr>
        <w:spacing w:before="120" w:after="120"/>
      </w:pPr>
    </w:p>
    <w:p w14:paraId="0856ABBF" w14:textId="5B44F306" w:rsidR="00976F08" w:rsidRDefault="00976F08" w:rsidP="00976F08">
      <w:pPr>
        <w:spacing w:before="120" w:after="120"/>
      </w:pPr>
      <w:r>
        <w:t>Based on observations 1 to 4, RACH-less handover to be supported for DU-migration.</w:t>
      </w:r>
    </w:p>
    <w:p w14:paraId="4E93A0DF" w14:textId="77777777" w:rsidR="00342D78" w:rsidRDefault="00342D78" w:rsidP="00E77925">
      <w:pPr>
        <w:spacing w:before="120" w:after="120"/>
        <w:rPr>
          <w:b/>
          <w:bCs/>
          <w:highlight w:val="yellow"/>
        </w:rPr>
      </w:pPr>
    </w:p>
    <w:p w14:paraId="1EB69A5C" w14:textId="790246FC" w:rsidR="00976F08" w:rsidRPr="00976F08" w:rsidRDefault="00976F08" w:rsidP="005913BD">
      <w:pPr>
        <w:spacing w:before="120" w:after="120"/>
        <w:rPr>
          <w:b/>
          <w:bCs/>
        </w:rPr>
      </w:pPr>
      <w:r w:rsidRPr="00976F08">
        <w:rPr>
          <w:b/>
          <w:bCs/>
        </w:rPr>
        <w:t>Proposal 1: RACH-less HO to be supported for DU migration.</w:t>
      </w:r>
    </w:p>
    <w:p w14:paraId="0C21F19C" w14:textId="77777777" w:rsidR="00476400" w:rsidRDefault="00476400" w:rsidP="005913BD">
      <w:pPr>
        <w:spacing w:before="120" w:after="120"/>
      </w:pPr>
    </w:p>
    <w:p w14:paraId="745A4BF8" w14:textId="4CF91EDD" w:rsidR="00466012" w:rsidRDefault="00542D97" w:rsidP="005913BD">
      <w:pPr>
        <w:spacing w:before="120" w:after="120"/>
      </w:pPr>
      <w:r>
        <w:lastRenderedPageBreak/>
        <w:t>Further, based on the above, the following steps for RACH-less HO procedure can be adopted from NTN for mIAB:</w:t>
      </w:r>
    </w:p>
    <w:p w14:paraId="0102331C" w14:textId="0EF28F42" w:rsidR="00466012" w:rsidRDefault="00466012" w:rsidP="00466012">
      <w:pPr>
        <w:spacing w:before="120" w:after="120"/>
        <w:rPr>
          <w:b/>
          <w:bCs/>
        </w:rPr>
      </w:pPr>
      <w:r w:rsidRPr="00976F08">
        <w:rPr>
          <w:b/>
          <w:bCs/>
        </w:rPr>
        <w:t xml:space="preserve">Proposal </w:t>
      </w:r>
      <w:r>
        <w:rPr>
          <w:b/>
          <w:bCs/>
        </w:rPr>
        <w:t>2</w:t>
      </w:r>
      <w:r w:rsidRPr="00976F08">
        <w:rPr>
          <w:b/>
          <w:bCs/>
        </w:rPr>
        <w:t xml:space="preserve">: </w:t>
      </w:r>
      <w:r w:rsidR="007C7FA2">
        <w:rPr>
          <w:b/>
          <w:bCs/>
        </w:rPr>
        <w:t>RACH-less HO for mIAB to adopt the following steps of the agreed NTN RACH-less HO procedure:</w:t>
      </w:r>
    </w:p>
    <w:p w14:paraId="144C6BA0" w14:textId="7351A0AC" w:rsidR="007C7FA2" w:rsidRPr="007A0019" w:rsidRDefault="00336F8B" w:rsidP="007A0019">
      <w:pPr>
        <w:pStyle w:val="ListParagraph"/>
        <w:numPr>
          <w:ilvl w:val="0"/>
          <w:numId w:val="22"/>
        </w:numPr>
        <w:spacing w:before="120" w:after="120"/>
        <w:ind w:left="504"/>
      </w:pPr>
      <w:r w:rsidRPr="007A0019">
        <w:rPr>
          <w:b/>
          <w:bCs/>
        </w:rPr>
        <w:t>1. Receive a RACH-less HO command which can include pre-allocated grant optionally</w:t>
      </w:r>
    </w:p>
    <w:p w14:paraId="6255BAE3" w14:textId="10AD6058" w:rsidR="00336F8B" w:rsidRPr="007A0019" w:rsidRDefault="00336F8B" w:rsidP="007A0019">
      <w:pPr>
        <w:pStyle w:val="ListParagraph"/>
        <w:numPr>
          <w:ilvl w:val="0"/>
          <w:numId w:val="22"/>
        </w:numPr>
        <w:spacing w:before="120" w:after="120"/>
        <w:ind w:left="504"/>
        <w:rPr>
          <w:b/>
          <w:bCs/>
        </w:rPr>
      </w:pPr>
      <w:r w:rsidRPr="007A0019">
        <w:rPr>
          <w:b/>
          <w:bCs/>
        </w:rPr>
        <w:t>2. Start time T304 for the target cell (RRC)</w:t>
      </w:r>
    </w:p>
    <w:p w14:paraId="5FCBA5C9" w14:textId="627F1320" w:rsidR="00336F8B" w:rsidRPr="007A0019" w:rsidRDefault="00336F8B" w:rsidP="007A0019">
      <w:pPr>
        <w:pStyle w:val="ListParagraph"/>
        <w:numPr>
          <w:ilvl w:val="0"/>
          <w:numId w:val="22"/>
        </w:numPr>
        <w:spacing w:before="120" w:after="120"/>
        <w:ind w:left="504"/>
        <w:rPr>
          <w:b/>
          <w:bCs/>
        </w:rPr>
      </w:pPr>
      <w:r w:rsidRPr="007A0019">
        <w:rPr>
          <w:b/>
          <w:bCs/>
        </w:rPr>
        <w:t>3. Perform DL and UL synchronization.</w:t>
      </w:r>
    </w:p>
    <w:p w14:paraId="17D1F388" w14:textId="29B33483" w:rsidR="00336F8B" w:rsidRPr="007A0019" w:rsidRDefault="00336F8B" w:rsidP="007A0019">
      <w:pPr>
        <w:pStyle w:val="ListParagraph"/>
        <w:numPr>
          <w:ilvl w:val="0"/>
          <w:numId w:val="22"/>
        </w:numPr>
        <w:spacing w:before="120" w:after="120"/>
        <w:ind w:left="504"/>
        <w:rPr>
          <w:b/>
          <w:bCs/>
        </w:rPr>
      </w:pPr>
      <w:r w:rsidRPr="007A0019">
        <w:rPr>
          <w:b/>
          <w:bCs/>
        </w:rPr>
        <w:t>4. Start time alignment timer (MAC)</w:t>
      </w:r>
    </w:p>
    <w:p w14:paraId="616F5FBB" w14:textId="183924B3" w:rsidR="00336F8B" w:rsidRPr="007A0019" w:rsidRDefault="00336F8B" w:rsidP="007A0019">
      <w:pPr>
        <w:pStyle w:val="ListParagraph"/>
        <w:numPr>
          <w:ilvl w:val="0"/>
          <w:numId w:val="22"/>
        </w:numPr>
        <w:spacing w:before="120" w:after="120"/>
        <w:ind w:left="504"/>
        <w:rPr>
          <w:b/>
          <w:bCs/>
        </w:rPr>
      </w:pPr>
      <w:r w:rsidRPr="007A0019">
        <w:rPr>
          <w:b/>
          <w:bCs/>
        </w:rPr>
        <w:t>5. Monitor target cell PDCCH for dynamic grant if pre-allocated grant is not configured in RACH-less HO command (MAC, PHY)</w:t>
      </w:r>
    </w:p>
    <w:p w14:paraId="57CD817C" w14:textId="7F7AC833" w:rsidR="00336F8B" w:rsidRPr="007A0019" w:rsidRDefault="00336F8B" w:rsidP="007A0019">
      <w:pPr>
        <w:pStyle w:val="ListParagraph"/>
        <w:numPr>
          <w:ilvl w:val="0"/>
          <w:numId w:val="22"/>
        </w:numPr>
        <w:spacing w:before="120" w:after="120"/>
        <w:ind w:left="504"/>
        <w:rPr>
          <w:b/>
          <w:bCs/>
        </w:rPr>
      </w:pPr>
      <w:r w:rsidRPr="007A0019">
        <w:rPr>
          <w:b/>
          <w:bCs/>
        </w:rPr>
        <w:t>6. Send initial UL transmission including RRCReconfigurationComplete message using the available UL grant (RRC, MAC, PHY)</w:t>
      </w:r>
    </w:p>
    <w:p w14:paraId="3BF45FDE" w14:textId="5CE0AE1A" w:rsidR="00336F8B" w:rsidRPr="007A0019" w:rsidRDefault="00336F8B" w:rsidP="007A0019">
      <w:pPr>
        <w:pStyle w:val="ListParagraph"/>
        <w:numPr>
          <w:ilvl w:val="0"/>
          <w:numId w:val="22"/>
        </w:numPr>
        <w:spacing w:before="120" w:after="120"/>
        <w:ind w:left="504"/>
        <w:rPr>
          <w:b/>
          <w:bCs/>
        </w:rPr>
      </w:pPr>
      <w:r w:rsidRPr="007A0019">
        <w:rPr>
          <w:b/>
          <w:bCs/>
        </w:rPr>
        <w:t>7. Consider RACH-less HO is completed upon receiving NW configuration.</w:t>
      </w:r>
    </w:p>
    <w:p w14:paraId="4F97F958" w14:textId="55DDFFBE" w:rsidR="00336F8B" w:rsidRPr="007A0019" w:rsidRDefault="00336F8B" w:rsidP="007A0019">
      <w:pPr>
        <w:pStyle w:val="ListParagraph"/>
        <w:numPr>
          <w:ilvl w:val="0"/>
          <w:numId w:val="22"/>
        </w:numPr>
        <w:spacing w:before="120" w:after="120"/>
        <w:ind w:left="504"/>
        <w:rPr>
          <w:b/>
          <w:bCs/>
        </w:rPr>
      </w:pPr>
      <w:r w:rsidRPr="007A0019">
        <w:rPr>
          <w:b/>
          <w:bCs/>
        </w:rPr>
        <w:t>8. Stop timer T304 for the target cell (RRC).</w:t>
      </w:r>
    </w:p>
    <w:p w14:paraId="36CD1F92" w14:textId="77777777" w:rsidR="00476400" w:rsidRDefault="00476400" w:rsidP="00542D97">
      <w:pPr>
        <w:spacing w:before="120" w:after="120"/>
      </w:pPr>
    </w:p>
    <w:p w14:paraId="1FD27B1F" w14:textId="0D3EA1AD" w:rsidR="00542D97" w:rsidRDefault="00542D97" w:rsidP="00542D97">
      <w:pPr>
        <w:spacing w:before="120" w:after="120"/>
      </w:pPr>
      <w:r>
        <w:t>These steps do not include any of the FFS in the NTN agreements. They further do not include the starting of timer T430, which is specific to NTN..</w:t>
      </w:r>
    </w:p>
    <w:p w14:paraId="28494E70" w14:textId="0354B33B" w:rsidR="00542D97" w:rsidRPr="00542D97" w:rsidRDefault="00542D97" w:rsidP="00466012">
      <w:pPr>
        <w:spacing w:before="120" w:after="120"/>
        <w:rPr>
          <w:sz w:val="18"/>
          <w:szCs w:val="22"/>
        </w:rPr>
      </w:pPr>
      <w:r w:rsidRPr="00542D97">
        <w:rPr>
          <w:sz w:val="18"/>
          <w:szCs w:val="22"/>
        </w:rPr>
        <w:t>The following further RAN2 agreements on NTN RACH-less HO can be adopted by mIAB:</w:t>
      </w:r>
    </w:p>
    <w:p w14:paraId="7E27FAA5" w14:textId="4AFEE333" w:rsidR="00E7056E" w:rsidRDefault="00E7056E" w:rsidP="00E7056E">
      <w:pPr>
        <w:spacing w:before="120" w:after="120"/>
        <w:rPr>
          <w:b/>
          <w:bCs/>
        </w:rPr>
      </w:pPr>
      <w:r w:rsidRPr="00976F08">
        <w:rPr>
          <w:b/>
          <w:bCs/>
        </w:rPr>
        <w:t xml:space="preserve">Proposal </w:t>
      </w:r>
      <w:r>
        <w:rPr>
          <w:b/>
          <w:bCs/>
        </w:rPr>
        <w:t>3</w:t>
      </w:r>
      <w:r w:rsidRPr="00976F08">
        <w:rPr>
          <w:b/>
          <w:bCs/>
        </w:rPr>
        <w:t xml:space="preserve">: </w:t>
      </w:r>
      <w:r>
        <w:rPr>
          <w:b/>
          <w:bCs/>
        </w:rPr>
        <w:t>RACH-less HO for mIAB to adopt the</w:t>
      </w:r>
      <w:r w:rsidR="0005510E">
        <w:rPr>
          <w:b/>
          <w:bCs/>
        </w:rPr>
        <w:t xml:space="preserve"> following</w:t>
      </w:r>
      <w:r>
        <w:rPr>
          <w:b/>
          <w:bCs/>
        </w:rPr>
        <w:t xml:space="preserve"> agree</w:t>
      </w:r>
      <w:r w:rsidR="0005510E">
        <w:rPr>
          <w:b/>
          <w:bCs/>
        </w:rPr>
        <w:t>ments on</w:t>
      </w:r>
      <w:r>
        <w:rPr>
          <w:b/>
          <w:bCs/>
        </w:rPr>
        <w:t xml:space="preserve"> NTN RACH-less HO procedure:</w:t>
      </w:r>
    </w:p>
    <w:p w14:paraId="4C1708FE" w14:textId="59026DD2" w:rsidR="00336F8B" w:rsidRPr="0005510E" w:rsidRDefault="00E7056E" w:rsidP="0005510E">
      <w:pPr>
        <w:pStyle w:val="ListParagraph"/>
        <w:numPr>
          <w:ilvl w:val="0"/>
          <w:numId w:val="22"/>
        </w:numPr>
        <w:spacing w:before="120" w:after="120"/>
        <w:ind w:left="504"/>
        <w:rPr>
          <w:b/>
          <w:bCs/>
        </w:rPr>
      </w:pPr>
      <w:r w:rsidRPr="0005510E">
        <w:rPr>
          <w:b/>
          <w:bCs/>
        </w:rPr>
        <w:t>At least for pre-allocated grant, for the confirmation of RACH-less HO completion we reuse of LTE approach, i.e., UE Contention Resolution Identity MAC CE is used but UE ignores the content of this field.</w:t>
      </w:r>
    </w:p>
    <w:p w14:paraId="584D4E1D" w14:textId="6F6AB1A9" w:rsidR="0005510E" w:rsidRPr="0005510E" w:rsidRDefault="0005510E" w:rsidP="0005510E">
      <w:pPr>
        <w:pStyle w:val="ListParagraph"/>
        <w:numPr>
          <w:ilvl w:val="0"/>
          <w:numId w:val="22"/>
        </w:numPr>
        <w:spacing w:before="120" w:after="120"/>
        <w:ind w:left="504"/>
        <w:rPr>
          <w:b/>
          <w:bCs/>
        </w:rPr>
      </w:pPr>
      <w:r w:rsidRPr="0005510E">
        <w:rPr>
          <w:b/>
          <w:bCs/>
        </w:rPr>
        <w:t xml:space="preserve">From RAN2 perspective synchronization among source and target cells is not an issue in </w:t>
      </w:r>
      <w:r>
        <w:rPr>
          <w:b/>
          <w:bCs/>
        </w:rPr>
        <w:t xml:space="preserve">mIAB </w:t>
      </w:r>
      <w:r w:rsidRPr="0005510E">
        <w:rPr>
          <w:b/>
          <w:bCs/>
        </w:rPr>
        <w:t>RACH-less HO</w:t>
      </w:r>
    </w:p>
    <w:p w14:paraId="28BA896D" w14:textId="733D7135" w:rsidR="0005510E" w:rsidRPr="0005510E" w:rsidRDefault="0005510E" w:rsidP="0005510E">
      <w:pPr>
        <w:pStyle w:val="ListParagraph"/>
        <w:numPr>
          <w:ilvl w:val="0"/>
          <w:numId w:val="22"/>
        </w:numPr>
        <w:spacing w:before="120" w:after="120"/>
        <w:ind w:left="504"/>
        <w:rPr>
          <w:b/>
          <w:bCs/>
        </w:rPr>
      </w:pPr>
      <w:r w:rsidRPr="0005510E">
        <w:rPr>
          <w:b/>
          <w:bCs/>
        </w:rPr>
        <w:t>Release pre-allocated UL grant after RACH-less HO completion</w:t>
      </w:r>
    </w:p>
    <w:p w14:paraId="1736DABD" w14:textId="6B2E983E" w:rsidR="0005510E" w:rsidRPr="0005510E" w:rsidRDefault="0005510E" w:rsidP="0005510E">
      <w:pPr>
        <w:pStyle w:val="ListParagraph"/>
        <w:numPr>
          <w:ilvl w:val="0"/>
          <w:numId w:val="22"/>
        </w:numPr>
        <w:spacing w:before="120" w:after="120"/>
        <w:ind w:left="504"/>
        <w:rPr>
          <w:b/>
          <w:bCs/>
        </w:rPr>
      </w:pPr>
      <w:r w:rsidRPr="0005510E">
        <w:rPr>
          <w:b/>
          <w:bCs/>
        </w:rPr>
        <w:t xml:space="preserve">LTE approach (of confirming the HO completion) is reused for both pre-allocated grant and dynamic grant. </w:t>
      </w:r>
    </w:p>
    <w:p w14:paraId="35F31038" w14:textId="5AEEE331" w:rsidR="0005510E" w:rsidRDefault="0005510E" w:rsidP="0005510E">
      <w:pPr>
        <w:pStyle w:val="ListParagraph"/>
        <w:numPr>
          <w:ilvl w:val="0"/>
          <w:numId w:val="22"/>
        </w:numPr>
        <w:spacing w:before="120" w:after="120"/>
        <w:ind w:left="504"/>
        <w:rPr>
          <w:b/>
          <w:bCs/>
        </w:rPr>
      </w:pPr>
      <w:r w:rsidRPr="0005510E">
        <w:rPr>
          <w:b/>
          <w:bCs/>
        </w:rPr>
        <w:t xml:space="preserve">RAN2 assumes the UL sync handling in the target cell is the same in RACH-based HO and RACH-less HO, except how to acquire </w:t>
      </w:r>
      <w:r>
        <w:rPr>
          <w:b/>
          <w:bCs/>
        </w:rPr>
        <w:t>TA</w:t>
      </w:r>
      <w:r w:rsidR="00E94784">
        <w:rPr>
          <w:b/>
          <w:bCs/>
        </w:rPr>
        <w:t>.</w:t>
      </w:r>
    </w:p>
    <w:p w14:paraId="37B442C3" w14:textId="77777777" w:rsidR="00476400" w:rsidRDefault="00476400" w:rsidP="005913BD">
      <w:pPr>
        <w:spacing w:before="120" w:after="120"/>
      </w:pPr>
    </w:p>
    <w:p w14:paraId="386004B9" w14:textId="764106F1" w:rsidR="005913BD" w:rsidRDefault="00542D97" w:rsidP="005913BD">
      <w:pPr>
        <w:spacing w:before="120" w:after="120"/>
      </w:pPr>
      <w:r w:rsidRPr="00542D97">
        <w:t xml:space="preserve">Based on Observation 4, there are RAN2 agreements on RACH-less HO for mIAB, which do not (yet) apply to NTN.  </w:t>
      </w:r>
      <w:r>
        <w:t xml:space="preserve">To ensure that one comprehensive solution to RACH-less HO is developed for NTN and mIAB, both WIs </w:t>
      </w:r>
      <w:r w:rsidR="005913BD">
        <w:t xml:space="preserve">should </w:t>
      </w:r>
      <w:r>
        <w:t xml:space="preserve">handle this topic in a </w:t>
      </w:r>
      <w:r w:rsidR="005913BD">
        <w:t>common session.</w:t>
      </w:r>
    </w:p>
    <w:p w14:paraId="6DB33F23" w14:textId="7E11CF86" w:rsidR="00976F08" w:rsidRPr="00976F08" w:rsidRDefault="00976F08" w:rsidP="00976F08">
      <w:pPr>
        <w:spacing w:before="120" w:after="120"/>
        <w:rPr>
          <w:b/>
          <w:bCs/>
        </w:rPr>
      </w:pPr>
      <w:r w:rsidRPr="00976F08">
        <w:rPr>
          <w:b/>
          <w:bCs/>
        </w:rPr>
        <w:t xml:space="preserve">Proposal </w:t>
      </w:r>
      <w:r w:rsidR="00E94784">
        <w:rPr>
          <w:b/>
          <w:bCs/>
        </w:rPr>
        <w:t>4</w:t>
      </w:r>
      <w:r w:rsidRPr="00976F08">
        <w:rPr>
          <w:b/>
          <w:bCs/>
        </w:rPr>
        <w:t xml:space="preserve">: </w:t>
      </w:r>
      <w:r>
        <w:rPr>
          <w:b/>
          <w:bCs/>
        </w:rPr>
        <w:t>NTN and mIAB to have common session on RACH-less handover.</w:t>
      </w:r>
    </w:p>
    <w:p w14:paraId="23DA704C" w14:textId="4D63F106" w:rsidR="0096408F" w:rsidRDefault="0096408F" w:rsidP="0096408F">
      <w:pPr>
        <w:pStyle w:val="Heading1"/>
      </w:pPr>
      <w:r>
        <w:t>Conclusion</w:t>
      </w:r>
    </w:p>
    <w:p w14:paraId="4AEA594E" w14:textId="7DD7ED84" w:rsidR="00CD3BFC" w:rsidRDefault="000C7C30" w:rsidP="00750C1F">
      <w:pPr>
        <w:spacing w:before="120" w:after="240"/>
        <w:rPr>
          <w:lang w:val="en-US"/>
        </w:rPr>
      </w:pPr>
      <w:r>
        <w:rPr>
          <w:lang w:val="en-US"/>
        </w:rPr>
        <w:t>T</w:t>
      </w:r>
      <w:r w:rsidRPr="0051442A">
        <w:rPr>
          <w:lang w:val="en-US"/>
        </w:rPr>
        <w:t>his paper discusse</w:t>
      </w:r>
      <w:r>
        <w:rPr>
          <w:lang w:val="en-US"/>
        </w:rPr>
        <w:t>d</w:t>
      </w:r>
      <w:r w:rsidRPr="0051442A">
        <w:rPr>
          <w:lang w:val="en-US"/>
        </w:rPr>
        <w:t xml:space="preserve"> </w:t>
      </w:r>
      <w:r>
        <w:rPr>
          <w:lang w:val="en-US"/>
        </w:rPr>
        <w:t>remaining issues for connected-mode mobility during DU migration</w:t>
      </w:r>
      <w:r w:rsidR="00CD3BFC">
        <w:rPr>
          <w:lang w:val="en-US"/>
        </w:rPr>
        <w:t>. The following observations and proposals have been made:</w:t>
      </w:r>
    </w:p>
    <w:p w14:paraId="0F35D0FC" w14:textId="77777777" w:rsidR="00650AE8" w:rsidRPr="00014703" w:rsidRDefault="00650AE8" w:rsidP="00650AE8">
      <w:pPr>
        <w:spacing w:before="120" w:after="120"/>
        <w:rPr>
          <w:b/>
          <w:bCs/>
        </w:rPr>
      </w:pPr>
      <w:r w:rsidRPr="00014703">
        <w:rPr>
          <w:b/>
          <w:bCs/>
        </w:rPr>
        <w:t xml:space="preserve">Observation 1: For DU-migration, RACH-less handover can provide significant interruption time reduction, and also significant signalling reduction in case many UEs have to be handed over within a small timeframe. </w:t>
      </w:r>
    </w:p>
    <w:p w14:paraId="56B4D927" w14:textId="77777777" w:rsidR="00650AE8" w:rsidRPr="00014703" w:rsidRDefault="00650AE8" w:rsidP="00650AE8">
      <w:pPr>
        <w:spacing w:before="120" w:after="120"/>
        <w:rPr>
          <w:b/>
          <w:bCs/>
        </w:rPr>
      </w:pPr>
      <w:r w:rsidRPr="00014703">
        <w:rPr>
          <w:b/>
          <w:bCs/>
        </w:rPr>
        <w:t xml:space="preserve">Observation </w:t>
      </w:r>
      <w:r>
        <w:rPr>
          <w:b/>
          <w:bCs/>
        </w:rPr>
        <w:t>2</w:t>
      </w:r>
      <w:r w:rsidRPr="00014703">
        <w:rPr>
          <w:b/>
          <w:bCs/>
        </w:rPr>
        <w:t xml:space="preserve">: </w:t>
      </w:r>
      <w:r>
        <w:rPr>
          <w:b/>
          <w:bCs/>
        </w:rPr>
        <w:t>RACH-less handover for DU migration, if supported, may leverage enhancements of NTN RACH-less HO since both handover procedures are conducted on L3 and may occur between different CUs.</w:t>
      </w:r>
      <w:r w:rsidRPr="00014703">
        <w:rPr>
          <w:b/>
          <w:bCs/>
        </w:rPr>
        <w:t xml:space="preserve"> </w:t>
      </w:r>
    </w:p>
    <w:p w14:paraId="6A0A9FD5" w14:textId="77777777" w:rsidR="00650AE8" w:rsidRPr="00014703" w:rsidRDefault="00650AE8" w:rsidP="00650AE8">
      <w:pPr>
        <w:spacing w:before="120" w:after="120"/>
        <w:rPr>
          <w:b/>
          <w:bCs/>
        </w:rPr>
      </w:pPr>
      <w:r w:rsidRPr="00014703">
        <w:rPr>
          <w:b/>
          <w:bCs/>
        </w:rPr>
        <w:t xml:space="preserve">Observation </w:t>
      </w:r>
      <w:r>
        <w:rPr>
          <w:b/>
          <w:bCs/>
        </w:rPr>
        <w:t>3</w:t>
      </w:r>
      <w:r w:rsidRPr="00014703">
        <w:rPr>
          <w:b/>
          <w:bCs/>
        </w:rPr>
        <w:t xml:space="preserve">: </w:t>
      </w:r>
      <w:r>
        <w:rPr>
          <w:b/>
          <w:bCs/>
        </w:rPr>
        <w:t>A large number of agreements for NTN RACH-less HO can be adopted for mIAB RACH-less HO.</w:t>
      </w:r>
      <w:r w:rsidRPr="00014703">
        <w:rPr>
          <w:b/>
          <w:bCs/>
        </w:rPr>
        <w:t xml:space="preserve"> </w:t>
      </w:r>
    </w:p>
    <w:p w14:paraId="564445EE" w14:textId="77777777" w:rsidR="00650AE8" w:rsidRPr="00014703" w:rsidRDefault="00650AE8" w:rsidP="00650AE8">
      <w:pPr>
        <w:spacing w:before="120" w:after="120"/>
        <w:rPr>
          <w:b/>
          <w:bCs/>
        </w:rPr>
      </w:pPr>
      <w:r w:rsidRPr="00014703">
        <w:rPr>
          <w:b/>
          <w:bCs/>
        </w:rPr>
        <w:t xml:space="preserve">Observation </w:t>
      </w:r>
      <w:r>
        <w:rPr>
          <w:b/>
          <w:bCs/>
        </w:rPr>
        <w:t>4</w:t>
      </w:r>
      <w:r w:rsidRPr="00014703">
        <w:rPr>
          <w:b/>
          <w:bCs/>
        </w:rPr>
        <w:t xml:space="preserve">: </w:t>
      </w:r>
      <w:r>
        <w:rPr>
          <w:b/>
          <w:bCs/>
        </w:rPr>
        <w:t>There are only minor additional enhancements needed for mIAB RACH-less HO on top of NTN RACH-less HO such as including a beam indication in the HO command.</w:t>
      </w:r>
      <w:r w:rsidRPr="00014703">
        <w:rPr>
          <w:b/>
          <w:bCs/>
        </w:rPr>
        <w:t xml:space="preserve"> </w:t>
      </w:r>
    </w:p>
    <w:p w14:paraId="41437E10" w14:textId="77777777" w:rsidR="00650AE8" w:rsidRDefault="00650AE8" w:rsidP="00650AE8">
      <w:pPr>
        <w:spacing w:before="120" w:after="120"/>
        <w:rPr>
          <w:b/>
          <w:bCs/>
        </w:rPr>
      </w:pPr>
    </w:p>
    <w:p w14:paraId="3A9A68C2" w14:textId="2DCD8A68" w:rsidR="00650AE8" w:rsidRPr="00976F08" w:rsidRDefault="00650AE8" w:rsidP="00650AE8">
      <w:pPr>
        <w:spacing w:before="120" w:after="120"/>
        <w:rPr>
          <w:b/>
          <w:bCs/>
        </w:rPr>
      </w:pPr>
      <w:r w:rsidRPr="00976F08">
        <w:rPr>
          <w:b/>
          <w:bCs/>
        </w:rPr>
        <w:t>Proposal 1: RACH-less HO to be supported for DU migration.</w:t>
      </w:r>
    </w:p>
    <w:p w14:paraId="1C6019E1" w14:textId="77777777" w:rsidR="00650AE8" w:rsidRDefault="00650AE8" w:rsidP="00650AE8">
      <w:pPr>
        <w:spacing w:before="120" w:after="120"/>
        <w:rPr>
          <w:b/>
          <w:bCs/>
        </w:rPr>
      </w:pPr>
    </w:p>
    <w:p w14:paraId="4BD55F4E" w14:textId="7D00A252" w:rsidR="00650AE8" w:rsidRDefault="00650AE8" w:rsidP="00650AE8">
      <w:pPr>
        <w:spacing w:before="120" w:after="120"/>
        <w:rPr>
          <w:b/>
          <w:bCs/>
        </w:rPr>
      </w:pPr>
      <w:r w:rsidRPr="00976F08">
        <w:rPr>
          <w:b/>
          <w:bCs/>
        </w:rPr>
        <w:t xml:space="preserve">Proposal </w:t>
      </w:r>
      <w:r>
        <w:rPr>
          <w:b/>
          <w:bCs/>
        </w:rPr>
        <w:t>2</w:t>
      </w:r>
      <w:r w:rsidRPr="00976F08">
        <w:rPr>
          <w:b/>
          <w:bCs/>
        </w:rPr>
        <w:t xml:space="preserve">: </w:t>
      </w:r>
      <w:r>
        <w:rPr>
          <w:b/>
          <w:bCs/>
        </w:rPr>
        <w:t>RACH-less HO for mIAB to adopt the following steps of the agreed NTN RACH-less HO procedure:</w:t>
      </w:r>
    </w:p>
    <w:p w14:paraId="53B612B8" w14:textId="77777777" w:rsidR="00650AE8" w:rsidRPr="007A0019" w:rsidRDefault="00650AE8" w:rsidP="00650AE8">
      <w:pPr>
        <w:pStyle w:val="ListParagraph"/>
        <w:numPr>
          <w:ilvl w:val="0"/>
          <w:numId w:val="22"/>
        </w:numPr>
        <w:spacing w:before="120" w:after="120"/>
        <w:ind w:left="504"/>
      </w:pPr>
      <w:r w:rsidRPr="007A0019">
        <w:rPr>
          <w:b/>
          <w:bCs/>
        </w:rPr>
        <w:t>1. Receive a RACH-less HO command which can include pre-allocated grant optionally</w:t>
      </w:r>
    </w:p>
    <w:p w14:paraId="0AF8FF74" w14:textId="77777777" w:rsidR="00650AE8" w:rsidRPr="007A0019" w:rsidRDefault="00650AE8" w:rsidP="00650AE8">
      <w:pPr>
        <w:pStyle w:val="ListParagraph"/>
        <w:numPr>
          <w:ilvl w:val="0"/>
          <w:numId w:val="22"/>
        </w:numPr>
        <w:spacing w:before="120" w:after="120"/>
        <w:ind w:left="504"/>
        <w:rPr>
          <w:b/>
          <w:bCs/>
        </w:rPr>
      </w:pPr>
      <w:r w:rsidRPr="007A0019">
        <w:rPr>
          <w:b/>
          <w:bCs/>
        </w:rPr>
        <w:t>2. Start time T304 for the target cell (RRC)</w:t>
      </w:r>
    </w:p>
    <w:p w14:paraId="0D6CBA1E" w14:textId="77777777" w:rsidR="00650AE8" w:rsidRPr="007A0019" w:rsidRDefault="00650AE8" w:rsidP="00650AE8">
      <w:pPr>
        <w:pStyle w:val="ListParagraph"/>
        <w:numPr>
          <w:ilvl w:val="0"/>
          <w:numId w:val="22"/>
        </w:numPr>
        <w:spacing w:before="120" w:after="120"/>
        <w:ind w:left="504"/>
        <w:rPr>
          <w:b/>
          <w:bCs/>
        </w:rPr>
      </w:pPr>
      <w:r w:rsidRPr="007A0019">
        <w:rPr>
          <w:b/>
          <w:bCs/>
        </w:rPr>
        <w:lastRenderedPageBreak/>
        <w:t>3. Perform DL and UL synchronization.</w:t>
      </w:r>
    </w:p>
    <w:p w14:paraId="1F2CD47C" w14:textId="77777777" w:rsidR="00650AE8" w:rsidRPr="007A0019" w:rsidRDefault="00650AE8" w:rsidP="00650AE8">
      <w:pPr>
        <w:pStyle w:val="ListParagraph"/>
        <w:numPr>
          <w:ilvl w:val="0"/>
          <w:numId w:val="22"/>
        </w:numPr>
        <w:spacing w:before="120" w:after="120"/>
        <w:ind w:left="504"/>
        <w:rPr>
          <w:b/>
          <w:bCs/>
        </w:rPr>
      </w:pPr>
      <w:r w:rsidRPr="007A0019">
        <w:rPr>
          <w:b/>
          <w:bCs/>
        </w:rPr>
        <w:t>4. Start time alignment timer (MAC)</w:t>
      </w:r>
    </w:p>
    <w:p w14:paraId="15E06CBF" w14:textId="77777777" w:rsidR="00650AE8" w:rsidRPr="007A0019" w:rsidRDefault="00650AE8" w:rsidP="00650AE8">
      <w:pPr>
        <w:pStyle w:val="ListParagraph"/>
        <w:numPr>
          <w:ilvl w:val="0"/>
          <w:numId w:val="22"/>
        </w:numPr>
        <w:spacing w:before="120" w:after="120"/>
        <w:ind w:left="504"/>
        <w:rPr>
          <w:b/>
          <w:bCs/>
        </w:rPr>
      </w:pPr>
      <w:r w:rsidRPr="007A0019">
        <w:rPr>
          <w:b/>
          <w:bCs/>
        </w:rPr>
        <w:t>5. Monitor target cell PDCCH for dynamic grant if pre-allocated grant is not configured in RACH-less HO command (MAC, PHY)</w:t>
      </w:r>
    </w:p>
    <w:p w14:paraId="5DB88ABD" w14:textId="77777777" w:rsidR="00650AE8" w:rsidRPr="007A0019" w:rsidRDefault="00650AE8" w:rsidP="00650AE8">
      <w:pPr>
        <w:pStyle w:val="ListParagraph"/>
        <w:numPr>
          <w:ilvl w:val="0"/>
          <w:numId w:val="22"/>
        </w:numPr>
        <w:spacing w:before="120" w:after="120"/>
        <w:ind w:left="504"/>
        <w:rPr>
          <w:b/>
          <w:bCs/>
        </w:rPr>
      </w:pPr>
      <w:r w:rsidRPr="007A0019">
        <w:rPr>
          <w:b/>
          <w:bCs/>
        </w:rPr>
        <w:t>6. Send initial UL transmission including RRCReconfigurationComplete message using the available UL grant (RRC, MAC, PHY)</w:t>
      </w:r>
    </w:p>
    <w:p w14:paraId="0BAF6D13" w14:textId="77777777" w:rsidR="00650AE8" w:rsidRPr="007A0019" w:rsidRDefault="00650AE8" w:rsidP="00650AE8">
      <w:pPr>
        <w:pStyle w:val="ListParagraph"/>
        <w:numPr>
          <w:ilvl w:val="0"/>
          <w:numId w:val="22"/>
        </w:numPr>
        <w:spacing w:before="120" w:after="120"/>
        <w:ind w:left="504"/>
        <w:rPr>
          <w:b/>
          <w:bCs/>
        </w:rPr>
      </w:pPr>
      <w:r w:rsidRPr="007A0019">
        <w:rPr>
          <w:b/>
          <w:bCs/>
        </w:rPr>
        <w:t>7. Consider RACH-less HO is completed upon receiving NW configuration.</w:t>
      </w:r>
    </w:p>
    <w:p w14:paraId="63F82168" w14:textId="77777777" w:rsidR="00650AE8" w:rsidRPr="007A0019" w:rsidRDefault="00650AE8" w:rsidP="00650AE8">
      <w:pPr>
        <w:pStyle w:val="ListParagraph"/>
        <w:numPr>
          <w:ilvl w:val="0"/>
          <w:numId w:val="22"/>
        </w:numPr>
        <w:spacing w:before="120" w:after="120"/>
        <w:ind w:left="504"/>
        <w:rPr>
          <w:b/>
          <w:bCs/>
        </w:rPr>
      </w:pPr>
      <w:r w:rsidRPr="007A0019">
        <w:rPr>
          <w:b/>
          <w:bCs/>
        </w:rPr>
        <w:t>8. Stop timer T304 for the target cell (RRC).</w:t>
      </w:r>
    </w:p>
    <w:p w14:paraId="1534B505" w14:textId="77777777" w:rsidR="00650AE8" w:rsidRDefault="00650AE8" w:rsidP="00650AE8">
      <w:pPr>
        <w:spacing w:before="120" w:after="120"/>
        <w:rPr>
          <w:b/>
          <w:bCs/>
        </w:rPr>
      </w:pPr>
    </w:p>
    <w:p w14:paraId="536023BF" w14:textId="0F6AF48E" w:rsidR="00650AE8" w:rsidRDefault="00650AE8" w:rsidP="00650AE8">
      <w:pPr>
        <w:spacing w:before="120" w:after="120"/>
        <w:rPr>
          <w:b/>
          <w:bCs/>
        </w:rPr>
      </w:pPr>
      <w:r w:rsidRPr="00976F08">
        <w:rPr>
          <w:b/>
          <w:bCs/>
        </w:rPr>
        <w:t xml:space="preserve">Proposal </w:t>
      </w:r>
      <w:r>
        <w:rPr>
          <w:b/>
          <w:bCs/>
        </w:rPr>
        <w:t>3</w:t>
      </w:r>
      <w:r w:rsidRPr="00976F08">
        <w:rPr>
          <w:b/>
          <w:bCs/>
        </w:rPr>
        <w:t xml:space="preserve">: </w:t>
      </w:r>
      <w:r>
        <w:rPr>
          <w:b/>
          <w:bCs/>
        </w:rPr>
        <w:t>RACH-less HO for mIAB to adopt the following agreements on NTN RACH-less HO procedure:</w:t>
      </w:r>
    </w:p>
    <w:p w14:paraId="2A484369" w14:textId="77777777" w:rsidR="00650AE8" w:rsidRPr="0005510E" w:rsidRDefault="00650AE8" w:rsidP="00650AE8">
      <w:pPr>
        <w:pStyle w:val="ListParagraph"/>
        <w:numPr>
          <w:ilvl w:val="0"/>
          <w:numId w:val="22"/>
        </w:numPr>
        <w:spacing w:before="120" w:after="120"/>
        <w:ind w:left="504"/>
        <w:rPr>
          <w:b/>
          <w:bCs/>
        </w:rPr>
      </w:pPr>
      <w:r w:rsidRPr="0005510E">
        <w:rPr>
          <w:b/>
          <w:bCs/>
        </w:rPr>
        <w:t>At least for pre-allocated grant, for the confirmation of RACH-less HO completion we reuse of LTE approach, i.e., UE Contention Resolution Identity MAC CE is used but UE ignores the content of this field.</w:t>
      </w:r>
    </w:p>
    <w:p w14:paraId="314ED1A3" w14:textId="77777777" w:rsidR="00650AE8" w:rsidRPr="0005510E" w:rsidRDefault="00650AE8" w:rsidP="00650AE8">
      <w:pPr>
        <w:pStyle w:val="ListParagraph"/>
        <w:numPr>
          <w:ilvl w:val="0"/>
          <w:numId w:val="22"/>
        </w:numPr>
        <w:spacing w:before="120" w:after="120"/>
        <w:ind w:left="504"/>
        <w:rPr>
          <w:b/>
          <w:bCs/>
        </w:rPr>
      </w:pPr>
      <w:r w:rsidRPr="0005510E">
        <w:rPr>
          <w:b/>
          <w:bCs/>
        </w:rPr>
        <w:t xml:space="preserve">From RAN2 perspective synchronization among source and target cells is not an issue in </w:t>
      </w:r>
      <w:r>
        <w:rPr>
          <w:b/>
          <w:bCs/>
        </w:rPr>
        <w:t xml:space="preserve">mIAB </w:t>
      </w:r>
      <w:r w:rsidRPr="0005510E">
        <w:rPr>
          <w:b/>
          <w:bCs/>
        </w:rPr>
        <w:t>RACH-less HO</w:t>
      </w:r>
    </w:p>
    <w:p w14:paraId="37CD206C" w14:textId="77777777" w:rsidR="00650AE8" w:rsidRPr="0005510E" w:rsidRDefault="00650AE8" w:rsidP="00650AE8">
      <w:pPr>
        <w:pStyle w:val="ListParagraph"/>
        <w:numPr>
          <w:ilvl w:val="0"/>
          <w:numId w:val="22"/>
        </w:numPr>
        <w:spacing w:before="120" w:after="120"/>
        <w:ind w:left="504"/>
        <w:rPr>
          <w:b/>
          <w:bCs/>
        </w:rPr>
      </w:pPr>
      <w:r w:rsidRPr="0005510E">
        <w:rPr>
          <w:b/>
          <w:bCs/>
        </w:rPr>
        <w:t>Release pre-allocated UL grant after RACH-less HO completion</w:t>
      </w:r>
    </w:p>
    <w:p w14:paraId="5361B0A4" w14:textId="77777777" w:rsidR="00650AE8" w:rsidRPr="0005510E" w:rsidRDefault="00650AE8" w:rsidP="00650AE8">
      <w:pPr>
        <w:pStyle w:val="ListParagraph"/>
        <w:numPr>
          <w:ilvl w:val="0"/>
          <w:numId w:val="22"/>
        </w:numPr>
        <w:spacing w:before="120" w:after="120"/>
        <w:ind w:left="504"/>
        <w:rPr>
          <w:b/>
          <w:bCs/>
        </w:rPr>
      </w:pPr>
      <w:r w:rsidRPr="0005510E">
        <w:rPr>
          <w:b/>
          <w:bCs/>
        </w:rPr>
        <w:t xml:space="preserve">LTE approach (of confirming the HO completion) is reused for both pre-allocated grant and dynamic grant. </w:t>
      </w:r>
    </w:p>
    <w:p w14:paraId="65C26283" w14:textId="77777777" w:rsidR="00650AE8" w:rsidRDefault="00650AE8" w:rsidP="00650AE8">
      <w:pPr>
        <w:pStyle w:val="ListParagraph"/>
        <w:numPr>
          <w:ilvl w:val="0"/>
          <w:numId w:val="22"/>
        </w:numPr>
        <w:spacing w:before="120" w:after="120"/>
        <w:ind w:left="504"/>
        <w:rPr>
          <w:b/>
          <w:bCs/>
        </w:rPr>
      </w:pPr>
      <w:r w:rsidRPr="0005510E">
        <w:rPr>
          <w:b/>
          <w:bCs/>
        </w:rPr>
        <w:t xml:space="preserve">RAN2 assumes the UL sync handling in the target cell is the same in RACH-based HO and RACH-less HO, except how to acquire </w:t>
      </w:r>
      <w:r>
        <w:rPr>
          <w:b/>
          <w:bCs/>
        </w:rPr>
        <w:t>TA.</w:t>
      </w:r>
    </w:p>
    <w:p w14:paraId="091B7268" w14:textId="77777777" w:rsidR="00650AE8" w:rsidRDefault="00650AE8" w:rsidP="00650AE8">
      <w:pPr>
        <w:spacing w:before="120" w:after="120"/>
        <w:rPr>
          <w:b/>
          <w:bCs/>
        </w:rPr>
      </w:pPr>
    </w:p>
    <w:p w14:paraId="4EF10573" w14:textId="22113498" w:rsidR="00650AE8" w:rsidRPr="00976F08" w:rsidRDefault="00650AE8" w:rsidP="00650AE8">
      <w:pPr>
        <w:spacing w:before="120" w:after="120"/>
        <w:rPr>
          <w:b/>
          <w:bCs/>
        </w:rPr>
      </w:pPr>
      <w:r w:rsidRPr="00976F08">
        <w:rPr>
          <w:b/>
          <w:bCs/>
        </w:rPr>
        <w:t xml:space="preserve">Proposal </w:t>
      </w:r>
      <w:r>
        <w:rPr>
          <w:b/>
          <w:bCs/>
        </w:rPr>
        <w:t>4</w:t>
      </w:r>
      <w:r w:rsidRPr="00976F08">
        <w:rPr>
          <w:b/>
          <w:bCs/>
        </w:rPr>
        <w:t xml:space="preserve">: </w:t>
      </w:r>
      <w:r>
        <w:rPr>
          <w:b/>
          <w:bCs/>
        </w:rPr>
        <w:t>NTN and mIAB to have common session on RACH-less handover.</w:t>
      </w:r>
    </w:p>
    <w:p w14:paraId="723A1DE9" w14:textId="77777777" w:rsidR="00650AE8" w:rsidRDefault="00650AE8" w:rsidP="00AF3742">
      <w:pPr>
        <w:spacing w:before="240" w:after="240"/>
        <w:rPr>
          <w:b/>
          <w:bCs/>
        </w:rPr>
      </w:pPr>
    </w:p>
    <w:p w14:paraId="7F9A5B2E" w14:textId="77777777" w:rsidR="00CD4C7B" w:rsidRPr="00320A6B" w:rsidRDefault="00CD4C7B" w:rsidP="00CD4C7B">
      <w:pPr>
        <w:pStyle w:val="Heading1"/>
      </w:pPr>
      <w:r w:rsidRPr="00320A6B">
        <w:t>References</w:t>
      </w:r>
    </w:p>
    <w:p w14:paraId="18A46778" w14:textId="68BFDA72" w:rsidR="00167A87" w:rsidRDefault="00BF49E1"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 </w:t>
      </w:r>
      <w:r w:rsidR="006A48C8">
        <w:rPr>
          <w:lang w:eastAsia="zh-CN"/>
        </w:rPr>
        <w:t>N</w:t>
      </w:r>
      <w:r>
        <w:rPr>
          <w:lang w:eastAsia="zh-CN"/>
        </w:rPr>
        <w:t>otes</w:t>
      </w:r>
      <w:r w:rsidR="00167A87" w:rsidRPr="00F04C08">
        <w:rPr>
          <w:lang w:val="en-US" w:eastAsia="zh-CN"/>
        </w:rPr>
        <w:t xml:space="preserve">; TSG RAN </w:t>
      </w:r>
      <w:r>
        <w:rPr>
          <w:lang w:val="en-US" w:eastAsia="zh-CN"/>
        </w:rPr>
        <w:t xml:space="preserve">WG2 </w:t>
      </w:r>
      <w:r w:rsidR="00167A87" w:rsidRPr="00F04C08">
        <w:rPr>
          <w:lang w:val="en-US" w:eastAsia="zh-CN"/>
        </w:rPr>
        <w:t>Meeting #</w:t>
      </w:r>
      <w:r>
        <w:rPr>
          <w:lang w:val="en-US" w:eastAsia="zh-CN"/>
        </w:rPr>
        <w:t>1</w:t>
      </w:r>
      <w:r w:rsidR="00D5621D">
        <w:rPr>
          <w:lang w:val="en-US" w:eastAsia="zh-CN"/>
        </w:rPr>
        <w:t>2</w:t>
      </w:r>
      <w:r w:rsidR="00222C75">
        <w:rPr>
          <w:lang w:val="en-US" w:eastAsia="zh-CN"/>
        </w:rPr>
        <w:t>2</w:t>
      </w:r>
      <w:r w:rsidR="00167A87" w:rsidRPr="00F04C08">
        <w:rPr>
          <w:lang w:val="en-US" w:eastAsia="zh-CN"/>
        </w:rPr>
        <w:t xml:space="preserve">, </w:t>
      </w:r>
      <w:r w:rsidR="00222C75">
        <w:rPr>
          <w:lang w:val="en-US" w:eastAsia="zh-CN"/>
        </w:rPr>
        <w:t>Incheon, Korea</w:t>
      </w:r>
      <w:r w:rsidR="00760022">
        <w:rPr>
          <w:lang w:val="en-US" w:eastAsia="zh-CN"/>
        </w:rPr>
        <w:t xml:space="preserve">, </w:t>
      </w:r>
      <w:r w:rsidR="00222C75">
        <w:rPr>
          <w:lang w:val="en-US" w:eastAsia="zh-CN"/>
        </w:rPr>
        <w:t>May</w:t>
      </w:r>
      <w:r w:rsidR="00167A87" w:rsidRPr="00F04C08">
        <w:rPr>
          <w:lang w:val="en-US" w:eastAsia="zh-CN"/>
        </w:rPr>
        <w:t>, 20</w:t>
      </w:r>
      <w:r w:rsidR="0036720B" w:rsidRPr="00F04C08">
        <w:rPr>
          <w:lang w:val="en-US" w:eastAsia="zh-CN"/>
        </w:rPr>
        <w:t>2</w:t>
      </w:r>
      <w:r w:rsidR="00D5621D">
        <w:rPr>
          <w:lang w:val="en-US" w:eastAsia="zh-CN"/>
        </w:rPr>
        <w:t>3</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7142" w14:textId="77777777" w:rsidR="0093138B" w:rsidRDefault="0093138B">
      <w:r>
        <w:separator/>
      </w:r>
    </w:p>
  </w:endnote>
  <w:endnote w:type="continuationSeparator" w:id="0">
    <w:p w14:paraId="0F757B24" w14:textId="77777777" w:rsidR="0093138B" w:rsidRDefault="0093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4713A" w14:textId="77777777" w:rsidR="0093138B" w:rsidRDefault="0093138B">
      <w:r>
        <w:separator/>
      </w:r>
    </w:p>
  </w:footnote>
  <w:footnote w:type="continuationSeparator" w:id="0">
    <w:p w14:paraId="290E2BB3" w14:textId="77777777" w:rsidR="0093138B" w:rsidRDefault="00931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675FB"/>
    <w:multiLevelType w:val="hybridMultilevel"/>
    <w:tmpl w:val="E6C474DE"/>
    <w:lvl w:ilvl="0" w:tplc="72B27D16">
      <w:start w:val="2"/>
      <w:numFmt w:val="bullet"/>
      <w:lvlText w:val="-"/>
      <w:lvlJc w:val="left"/>
      <w:pPr>
        <w:ind w:left="1619" w:hanging="360"/>
      </w:pPr>
      <w:rPr>
        <w:rFonts w:ascii="Times New Roman" w:eastAsiaTheme="minorEastAsia" w:hAnsi="Times New Roman" w:cs="Times New Roman" w:hint="default"/>
      </w:rPr>
    </w:lvl>
    <w:lvl w:ilvl="1" w:tplc="FFFFFFFF">
      <w:numFmt w:val="bullet"/>
      <w:lvlText w:val="-"/>
      <w:lvlJc w:val="left"/>
      <w:pPr>
        <w:ind w:left="2339" w:hanging="360"/>
      </w:pPr>
      <w:rPr>
        <w:rFonts w:ascii="Times New Roman" w:eastAsiaTheme="minorEastAsia" w:hAnsi="Times New Roman" w:cs="Times New Roman" w:hint="default"/>
        <w:b/>
        <w:sz w:val="20"/>
      </w:r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0BFE407F"/>
    <w:multiLevelType w:val="hybridMultilevel"/>
    <w:tmpl w:val="37763B9A"/>
    <w:lvl w:ilvl="0" w:tplc="F40E7678">
      <w:start w:val="1"/>
      <w:numFmt w:val="bullet"/>
      <w:lvlText w:val="•"/>
      <w:lvlJc w:val="left"/>
      <w:pPr>
        <w:tabs>
          <w:tab w:val="num" w:pos="720"/>
        </w:tabs>
        <w:ind w:left="720" w:hanging="360"/>
      </w:pPr>
      <w:rPr>
        <w:rFonts w:ascii="Times New Roman" w:hAnsi="Times New Roman" w:hint="default"/>
      </w:rPr>
    </w:lvl>
    <w:lvl w:ilvl="1" w:tplc="59E051B4" w:tentative="1">
      <w:start w:val="1"/>
      <w:numFmt w:val="bullet"/>
      <w:lvlText w:val="•"/>
      <w:lvlJc w:val="left"/>
      <w:pPr>
        <w:tabs>
          <w:tab w:val="num" w:pos="1440"/>
        </w:tabs>
        <w:ind w:left="1440" w:hanging="360"/>
      </w:pPr>
      <w:rPr>
        <w:rFonts w:ascii="Times New Roman" w:hAnsi="Times New Roman" w:hint="default"/>
      </w:rPr>
    </w:lvl>
    <w:lvl w:ilvl="2" w:tplc="C9BE2842" w:tentative="1">
      <w:start w:val="1"/>
      <w:numFmt w:val="bullet"/>
      <w:lvlText w:val="•"/>
      <w:lvlJc w:val="left"/>
      <w:pPr>
        <w:tabs>
          <w:tab w:val="num" w:pos="2160"/>
        </w:tabs>
        <w:ind w:left="2160" w:hanging="360"/>
      </w:pPr>
      <w:rPr>
        <w:rFonts w:ascii="Times New Roman" w:hAnsi="Times New Roman" w:hint="default"/>
      </w:rPr>
    </w:lvl>
    <w:lvl w:ilvl="3" w:tplc="B7FA7A60" w:tentative="1">
      <w:start w:val="1"/>
      <w:numFmt w:val="bullet"/>
      <w:lvlText w:val="•"/>
      <w:lvlJc w:val="left"/>
      <w:pPr>
        <w:tabs>
          <w:tab w:val="num" w:pos="2880"/>
        </w:tabs>
        <w:ind w:left="2880" w:hanging="360"/>
      </w:pPr>
      <w:rPr>
        <w:rFonts w:ascii="Times New Roman" w:hAnsi="Times New Roman" w:hint="default"/>
      </w:rPr>
    </w:lvl>
    <w:lvl w:ilvl="4" w:tplc="27D21036" w:tentative="1">
      <w:start w:val="1"/>
      <w:numFmt w:val="bullet"/>
      <w:lvlText w:val="•"/>
      <w:lvlJc w:val="left"/>
      <w:pPr>
        <w:tabs>
          <w:tab w:val="num" w:pos="3600"/>
        </w:tabs>
        <w:ind w:left="3600" w:hanging="360"/>
      </w:pPr>
      <w:rPr>
        <w:rFonts w:ascii="Times New Roman" w:hAnsi="Times New Roman" w:hint="default"/>
      </w:rPr>
    </w:lvl>
    <w:lvl w:ilvl="5" w:tplc="23B65CF0" w:tentative="1">
      <w:start w:val="1"/>
      <w:numFmt w:val="bullet"/>
      <w:lvlText w:val="•"/>
      <w:lvlJc w:val="left"/>
      <w:pPr>
        <w:tabs>
          <w:tab w:val="num" w:pos="4320"/>
        </w:tabs>
        <w:ind w:left="4320" w:hanging="360"/>
      </w:pPr>
      <w:rPr>
        <w:rFonts w:ascii="Times New Roman" w:hAnsi="Times New Roman" w:hint="default"/>
      </w:rPr>
    </w:lvl>
    <w:lvl w:ilvl="6" w:tplc="FFC4B464" w:tentative="1">
      <w:start w:val="1"/>
      <w:numFmt w:val="bullet"/>
      <w:lvlText w:val="•"/>
      <w:lvlJc w:val="left"/>
      <w:pPr>
        <w:tabs>
          <w:tab w:val="num" w:pos="5040"/>
        </w:tabs>
        <w:ind w:left="5040" w:hanging="360"/>
      </w:pPr>
      <w:rPr>
        <w:rFonts w:ascii="Times New Roman" w:hAnsi="Times New Roman" w:hint="default"/>
      </w:rPr>
    </w:lvl>
    <w:lvl w:ilvl="7" w:tplc="F1C82AEE" w:tentative="1">
      <w:start w:val="1"/>
      <w:numFmt w:val="bullet"/>
      <w:lvlText w:val="•"/>
      <w:lvlJc w:val="left"/>
      <w:pPr>
        <w:tabs>
          <w:tab w:val="num" w:pos="5760"/>
        </w:tabs>
        <w:ind w:left="5760" w:hanging="360"/>
      </w:pPr>
      <w:rPr>
        <w:rFonts w:ascii="Times New Roman" w:hAnsi="Times New Roman" w:hint="default"/>
      </w:rPr>
    </w:lvl>
    <w:lvl w:ilvl="8" w:tplc="7304BE1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1C14F4"/>
    <w:multiLevelType w:val="hybridMultilevel"/>
    <w:tmpl w:val="955EC20E"/>
    <w:lvl w:ilvl="0" w:tplc="F722752C">
      <w:start w:val="1"/>
      <w:numFmt w:val="decimal"/>
      <w:lvlText w:val="%1."/>
      <w:lvlJc w:val="left"/>
      <w:pPr>
        <w:ind w:left="1619" w:hanging="360"/>
      </w:pPr>
      <w:rPr>
        <w:rFonts w:hint="default"/>
      </w:rPr>
    </w:lvl>
    <w:lvl w:ilvl="1" w:tplc="2EB06AC0">
      <w:numFmt w:val="bullet"/>
      <w:lvlText w:val="-"/>
      <w:lvlJc w:val="left"/>
      <w:pPr>
        <w:ind w:left="2339" w:hanging="360"/>
      </w:pPr>
      <w:rPr>
        <w:rFonts w:ascii="Times New Roman" w:eastAsiaTheme="minorEastAsia" w:hAnsi="Times New Roman" w:cs="Times New Roman" w:hint="default"/>
        <w:b/>
        <w:sz w:val="20"/>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4E51AE1"/>
    <w:multiLevelType w:val="hybridMultilevel"/>
    <w:tmpl w:val="CA664826"/>
    <w:lvl w:ilvl="0" w:tplc="635C1838">
      <w:start w:val="1"/>
      <w:numFmt w:val="bullet"/>
      <w:lvlText w:val="•"/>
      <w:lvlJc w:val="left"/>
      <w:pPr>
        <w:tabs>
          <w:tab w:val="num" w:pos="720"/>
        </w:tabs>
        <w:ind w:left="720" w:hanging="360"/>
      </w:pPr>
      <w:rPr>
        <w:rFonts w:ascii="Times New Roman" w:hAnsi="Times New Roman" w:hint="default"/>
      </w:rPr>
    </w:lvl>
    <w:lvl w:ilvl="1" w:tplc="9752AEF0">
      <w:numFmt w:val="bullet"/>
      <w:lvlText w:val="–"/>
      <w:lvlJc w:val="left"/>
      <w:pPr>
        <w:tabs>
          <w:tab w:val="num" w:pos="1440"/>
        </w:tabs>
        <w:ind w:left="1440" w:hanging="360"/>
      </w:pPr>
      <w:rPr>
        <w:rFonts w:ascii="Times New Roman" w:hAnsi="Times New Roman" w:hint="default"/>
      </w:rPr>
    </w:lvl>
    <w:lvl w:ilvl="2" w:tplc="C110187A" w:tentative="1">
      <w:start w:val="1"/>
      <w:numFmt w:val="bullet"/>
      <w:lvlText w:val="•"/>
      <w:lvlJc w:val="left"/>
      <w:pPr>
        <w:tabs>
          <w:tab w:val="num" w:pos="2160"/>
        </w:tabs>
        <w:ind w:left="2160" w:hanging="360"/>
      </w:pPr>
      <w:rPr>
        <w:rFonts w:ascii="Times New Roman" w:hAnsi="Times New Roman" w:hint="default"/>
      </w:rPr>
    </w:lvl>
    <w:lvl w:ilvl="3" w:tplc="808C1646" w:tentative="1">
      <w:start w:val="1"/>
      <w:numFmt w:val="bullet"/>
      <w:lvlText w:val="•"/>
      <w:lvlJc w:val="left"/>
      <w:pPr>
        <w:tabs>
          <w:tab w:val="num" w:pos="2880"/>
        </w:tabs>
        <w:ind w:left="2880" w:hanging="360"/>
      </w:pPr>
      <w:rPr>
        <w:rFonts w:ascii="Times New Roman" w:hAnsi="Times New Roman" w:hint="default"/>
      </w:rPr>
    </w:lvl>
    <w:lvl w:ilvl="4" w:tplc="D53629B0" w:tentative="1">
      <w:start w:val="1"/>
      <w:numFmt w:val="bullet"/>
      <w:lvlText w:val="•"/>
      <w:lvlJc w:val="left"/>
      <w:pPr>
        <w:tabs>
          <w:tab w:val="num" w:pos="3600"/>
        </w:tabs>
        <w:ind w:left="3600" w:hanging="360"/>
      </w:pPr>
      <w:rPr>
        <w:rFonts w:ascii="Times New Roman" w:hAnsi="Times New Roman" w:hint="default"/>
      </w:rPr>
    </w:lvl>
    <w:lvl w:ilvl="5" w:tplc="95F68828" w:tentative="1">
      <w:start w:val="1"/>
      <w:numFmt w:val="bullet"/>
      <w:lvlText w:val="•"/>
      <w:lvlJc w:val="left"/>
      <w:pPr>
        <w:tabs>
          <w:tab w:val="num" w:pos="4320"/>
        </w:tabs>
        <w:ind w:left="4320" w:hanging="360"/>
      </w:pPr>
      <w:rPr>
        <w:rFonts w:ascii="Times New Roman" w:hAnsi="Times New Roman" w:hint="default"/>
      </w:rPr>
    </w:lvl>
    <w:lvl w:ilvl="6" w:tplc="DBF26ECC" w:tentative="1">
      <w:start w:val="1"/>
      <w:numFmt w:val="bullet"/>
      <w:lvlText w:val="•"/>
      <w:lvlJc w:val="left"/>
      <w:pPr>
        <w:tabs>
          <w:tab w:val="num" w:pos="5040"/>
        </w:tabs>
        <w:ind w:left="5040" w:hanging="360"/>
      </w:pPr>
      <w:rPr>
        <w:rFonts w:ascii="Times New Roman" w:hAnsi="Times New Roman" w:hint="default"/>
      </w:rPr>
    </w:lvl>
    <w:lvl w:ilvl="7" w:tplc="E3328C3E" w:tentative="1">
      <w:start w:val="1"/>
      <w:numFmt w:val="bullet"/>
      <w:lvlText w:val="•"/>
      <w:lvlJc w:val="left"/>
      <w:pPr>
        <w:tabs>
          <w:tab w:val="num" w:pos="5760"/>
        </w:tabs>
        <w:ind w:left="5760" w:hanging="360"/>
      </w:pPr>
      <w:rPr>
        <w:rFonts w:ascii="Times New Roman" w:hAnsi="Times New Roman" w:hint="default"/>
      </w:rPr>
    </w:lvl>
    <w:lvl w:ilvl="8" w:tplc="9B7C7D6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EB81729"/>
    <w:multiLevelType w:val="hybridMultilevel"/>
    <w:tmpl w:val="D55A60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26D4C50"/>
    <w:multiLevelType w:val="hybridMultilevel"/>
    <w:tmpl w:val="FBD49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FA11860"/>
    <w:multiLevelType w:val="hybridMultilevel"/>
    <w:tmpl w:val="851CE9F8"/>
    <w:lvl w:ilvl="0" w:tplc="51E05B88">
      <w:start w:val="1"/>
      <w:numFmt w:val="bullet"/>
      <w:lvlText w:val="•"/>
      <w:lvlJc w:val="left"/>
      <w:pPr>
        <w:tabs>
          <w:tab w:val="num" w:pos="720"/>
        </w:tabs>
        <w:ind w:left="720" w:hanging="360"/>
      </w:pPr>
      <w:rPr>
        <w:rFonts w:ascii="Times New Roman" w:hAnsi="Times New Roman" w:hint="default"/>
      </w:rPr>
    </w:lvl>
    <w:lvl w:ilvl="1" w:tplc="CA32678A" w:tentative="1">
      <w:start w:val="1"/>
      <w:numFmt w:val="bullet"/>
      <w:lvlText w:val="•"/>
      <w:lvlJc w:val="left"/>
      <w:pPr>
        <w:tabs>
          <w:tab w:val="num" w:pos="1440"/>
        </w:tabs>
        <w:ind w:left="1440" w:hanging="360"/>
      </w:pPr>
      <w:rPr>
        <w:rFonts w:ascii="Times New Roman" w:hAnsi="Times New Roman" w:hint="default"/>
      </w:rPr>
    </w:lvl>
    <w:lvl w:ilvl="2" w:tplc="7A6AD31A" w:tentative="1">
      <w:start w:val="1"/>
      <w:numFmt w:val="bullet"/>
      <w:lvlText w:val="•"/>
      <w:lvlJc w:val="left"/>
      <w:pPr>
        <w:tabs>
          <w:tab w:val="num" w:pos="2160"/>
        </w:tabs>
        <w:ind w:left="2160" w:hanging="360"/>
      </w:pPr>
      <w:rPr>
        <w:rFonts w:ascii="Times New Roman" w:hAnsi="Times New Roman" w:hint="default"/>
      </w:rPr>
    </w:lvl>
    <w:lvl w:ilvl="3" w:tplc="3A4E308E" w:tentative="1">
      <w:start w:val="1"/>
      <w:numFmt w:val="bullet"/>
      <w:lvlText w:val="•"/>
      <w:lvlJc w:val="left"/>
      <w:pPr>
        <w:tabs>
          <w:tab w:val="num" w:pos="2880"/>
        </w:tabs>
        <w:ind w:left="2880" w:hanging="360"/>
      </w:pPr>
      <w:rPr>
        <w:rFonts w:ascii="Times New Roman" w:hAnsi="Times New Roman" w:hint="default"/>
      </w:rPr>
    </w:lvl>
    <w:lvl w:ilvl="4" w:tplc="FC8299C6" w:tentative="1">
      <w:start w:val="1"/>
      <w:numFmt w:val="bullet"/>
      <w:lvlText w:val="•"/>
      <w:lvlJc w:val="left"/>
      <w:pPr>
        <w:tabs>
          <w:tab w:val="num" w:pos="3600"/>
        </w:tabs>
        <w:ind w:left="3600" w:hanging="360"/>
      </w:pPr>
      <w:rPr>
        <w:rFonts w:ascii="Times New Roman" w:hAnsi="Times New Roman" w:hint="default"/>
      </w:rPr>
    </w:lvl>
    <w:lvl w:ilvl="5" w:tplc="AC5A8BB4" w:tentative="1">
      <w:start w:val="1"/>
      <w:numFmt w:val="bullet"/>
      <w:lvlText w:val="•"/>
      <w:lvlJc w:val="left"/>
      <w:pPr>
        <w:tabs>
          <w:tab w:val="num" w:pos="4320"/>
        </w:tabs>
        <w:ind w:left="4320" w:hanging="360"/>
      </w:pPr>
      <w:rPr>
        <w:rFonts w:ascii="Times New Roman" w:hAnsi="Times New Roman" w:hint="default"/>
      </w:rPr>
    </w:lvl>
    <w:lvl w:ilvl="6" w:tplc="DCE27F64" w:tentative="1">
      <w:start w:val="1"/>
      <w:numFmt w:val="bullet"/>
      <w:lvlText w:val="•"/>
      <w:lvlJc w:val="left"/>
      <w:pPr>
        <w:tabs>
          <w:tab w:val="num" w:pos="5040"/>
        </w:tabs>
        <w:ind w:left="5040" w:hanging="360"/>
      </w:pPr>
      <w:rPr>
        <w:rFonts w:ascii="Times New Roman" w:hAnsi="Times New Roman" w:hint="default"/>
      </w:rPr>
    </w:lvl>
    <w:lvl w:ilvl="7" w:tplc="7EF86760" w:tentative="1">
      <w:start w:val="1"/>
      <w:numFmt w:val="bullet"/>
      <w:lvlText w:val="•"/>
      <w:lvlJc w:val="left"/>
      <w:pPr>
        <w:tabs>
          <w:tab w:val="num" w:pos="5760"/>
        </w:tabs>
        <w:ind w:left="5760" w:hanging="360"/>
      </w:pPr>
      <w:rPr>
        <w:rFonts w:ascii="Times New Roman" w:hAnsi="Times New Roman" w:hint="default"/>
      </w:rPr>
    </w:lvl>
    <w:lvl w:ilvl="8" w:tplc="2C983A2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BA3589"/>
    <w:multiLevelType w:val="hybridMultilevel"/>
    <w:tmpl w:val="6D723840"/>
    <w:lvl w:ilvl="0" w:tplc="72B27D1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E9389C"/>
    <w:multiLevelType w:val="hybridMultilevel"/>
    <w:tmpl w:val="017E878E"/>
    <w:lvl w:ilvl="0" w:tplc="C1E27BB8">
      <w:start w:val="1"/>
      <w:numFmt w:val="bullet"/>
      <w:lvlText w:val="•"/>
      <w:lvlJc w:val="left"/>
      <w:pPr>
        <w:tabs>
          <w:tab w:val="num" w:pos="720"/>
        </w:tabs>
        <w:ind w:left="720" w:hanging="360"/>
      </w:pPr>
      <w:rPr>
        <w:rFonts w:ascii="Times New Roman" w:hAnsi="Times New Roman" w:hint="default"/>
      </w:rPr>
    </w:lvl>
    <w:lvl w:ilvl="1" w:tplc="CBEA6A44" w:tentative="1">
      <w:start w:val="1"/>
      <w:numFmt w:val="bullet"/>
      <w:lvlText w:val="•"/>
      <w:lvlJc w:val="left"/>
      <w:pPr>
        <w:tabs>
          <w:tab w:val="num" w:pos="1440"/>
        </w:tabs>
        <w:ind w:left="1440" w:hanging="360"/>
      </w:pPr>
      <w:rPr>
        <w:rFonts w:ascii="Times New Roman" w:hAnsi="Times New Roman" w:hint="default"/>
      </w:rPr>
    </w:lvl>
    <w:lvl w:ilvl="2" w:tplc="17C4FD74" w:tentative="1">
      <w:start w:val="1"/>
      <w:numFmt w:val="bullet"/>
      <w:lvlText w:val="•"/>
      <w:lvlJc w:val="left"/>
      <w:pPr>
        <w:tabs>
          <w:tab w:val="num" w:pos="2160"/>
        </w:tabs>
        <w:ind w:left="2160" w:hanging="360"/>
      </w:pPr>
      <w:rPr>
        <w:rFonts w:ascii="Times New Roman" w:hAnsi="Times New Roman" w:hint="default"/>
      </w:rPr>
    </w:lvl>
    <w:lvl w:ilvl="3" w:tplc="E982A646" w:tentative="1">
      <w:start w:val="1"/>
      <w:numFmt w:val="bullet"/>
      <w:lvlText w:val="•"/>
      <w:lvlJc w:val="left"/>
      <w:pPr>
        <w:tabs>
          <w:tab w:val="num" w:pos="2880"/>
        </w:tabs>
        <w:ind w:left="2880" w:hanging="360"/>
      </w:pPr>
      <w:rPr>
        <w:rFonts w:ascii="Times New Roman" w:hAnsi="Times New Roman" w:hint="default"/>
      </w:rPr>
    </w:lvl>
    <w:lvl w:ilvl="4" w:tplc="6F523556" w:tentative="1">
      <w:start w:val="1"/>
      <w:numFmt w:val="bullet"/>
      <w:lvlText w:val="•"/>
      <w:lvlJc w:val="left"/>
      <w:pPr>
        <w:tabs>
          <w:tab w:val="num" w:pos="3600"/>
        </w:tabs>
        <w:ind w:left="3600" w:hanging="360"/>
      </w:pPr>
      <w:rPr>
        <w:rFonts w:ascii="Times New Roman" w:hAnsi="Times New Roman" w:hint="default"/>
      </w:rPr>
    </w:lvl>
    <w:lvl w:ilvl="5" w:tplc="92CE8E3A" w:tentative="1">
      <w:start w:val="1"/>
      <w:numFmt w:val="bullet"/>
      <w:lvlText w:val="•"/>
      <w:lvlJc w:val="left"/>
      <w:pPr>
        <w:tabs>
          <w:tab w:val="num" w:pos="4320"/>
        </w:tabs>
        <w:ind w:left="4320" w:hanging="360"/>
      </w:pPr>
      <w:rPr>
        <w:rFonts w:ascii="Times New Roman" w:hAnsi="Times New Roman" w:hint="default"/>
      </w:rPr>
    </w:lvl>
    <w:lvl w:ilvl="6" w:tplc="BDB2FD88" w:tentative="1">
      <w:start w:val="1"/>
      <w:numFmt w:val="bullet"/>
      <w:lvlText w:val="•"/>
      <w:lvlJc w:val="left"/>
      <w:pPr>
        <w:tabs>
          <w:tab w:val="num" w:pos="5040"/>
        </w:tabs>
        <w:ind w:left="5040" w:hanging="360"/>
      </w:pPr>
      <w:rPr>
        <w:rFonts w:ascii="Times New Roman" w:hAnsi="Times New Roman" w:hint="default"/>
      </w:rPr>
    </w:lvl>
    <w:lvl w:ilvl="7" w:tplc="E4DEB16E" w:tentative="1">
      <w:start w:val="1"/>
      <w:numFmt w:val="bullet"/>
      <w:lvlText w:val="•"/>
      <w:lvlJc w:val="left"/>
      <w:pPr>
        <w:tabs>
          <w:tab w:val="num" w:pos="5760"/>
        </w:tabs>
        <w:ind w:left="5760" w:hanging="360"/>
      </w:pPr>
      <w:rPr>
        <w:rFonts w:ascii="Times New Roman" w:hAnsi="Times New Roman" w:hint="default"/>
      </w:rPr>
    </w:lvl>
    <w:lvl w:ilvl="8" w:tplc="5F86128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E032E"/>
    <w:multiLevelType w:val="hybridMultilevel"/>
    <w:tmpl w:val="D55A60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640"/>
        </w:tabs>
        <w:ind w:left="-9640" w:hanging="360"/>
      </w:pPr>
      <w:rPr>
        <w:rFonts w:ascii="Symbol" w:hAnsi="Symbol" w:hint="default"/>
        <w:b/>
        <w:i w:val="0"/>
        <w:color w:val="auto"/>
        <w:sz w:val="22"/>
      </w:rPr>
    </w:lvl>
    <w:lvl w:ilvl="1" w:tplc="04090003">
      <w:start w:val="1"/>
      <w:numFmt w:val="bullet"/>
      <w:lvlText w:val="o"/>
      <w:lvlJc w:val="left"/>
      <w:pPr>
        <w:tabs>
          <w:tab w:val="num" w:pos="-8830"/>
        </w:tabs>
        <w:ind w:left="-8830" w:hanging="360"/>
      </w:pPr>
      <w:rPr>
        <w:rFonts w:ascii="Courier New" w:hAnsi="Courier New" w:cs="Courier New" w:hint="default"/>
      </w:rPr>
    </w:lvl>
    <w:lvl w:ilvl="2" w:tplc="04090005" w:tentative="1">
      <w:start w:val="1"/>
      <w:numFmt w:val="bullet"/>
      <w:lvlText w:val=""/>
      <w:lvlJc w:val="left"/>
      <w:pPr>
        <w:tabs>
          <w:tab w:val="num" w:pos="-8110"/>
        </w:tabs>
        <w:ind w:left="-8110" w:hanging="360"/>
      </w:pPr>
      <w:rPr>
        <w:rFonts w:ascii="Wingdings" w:hAnsi="Wingdings" w:hint="default"/>
      </w:rPr>
    </w:lvl>
    <w:lvl w:ilvl="3" w:tplc="04090001" w:tentative="1">
      <w:start w:val="1"/>
      <w:numFmt w:val="bullet"/>
      <w:lvlText w:val=""/>
      <w:lvlJc w:val="left"/>
      <w:pPr>
        <w:tabs>
          <w:tab w:val="num" w:pos="-7390"/>
        </w:tabs>
        <w:ind w:left="-7390" w:hanging="360"/>
      </w:pPr>
      <w:rPr>
        <w:rFonts w:ascii="Symbol" w:hAnsi="Symbol" w:hint="default"/>
      </w:rPr>
    </w:lvl>
    <w:lvl w:ilvl="4" w:tplc="04090003" w:tentative="1">
      <w:start w:val="1"/>
      <w:numFmt w:val="bullet"/>
      <w:lvlText w:val="o"/>
      <w:lvlJc w:val="left"/>
      <w:pPr>
        <w:tabs>
          <w:tab w:val="num" w:pos="-6670"/>
        </w:tabs>
        <w:ind w:left="-6670" w:hanging="360"/>
      </w:pPr>
      <w:rPr>
        <w:rFonts w:ascii="Courier New" w:hAnsi="Courier New" w:cs="Courier New" w:hint="default"/>
      </w:rPr>
    </w:lvl>
    <w:lvl w:ilvl="5" w:tplc="04090005" w:tentative="1">
      <w:start w:val="1"/>
      <w:numFmt w:val="bullet"/>
      <w:lvlText w:val=""/>
      <w:lvlJc w:val="left"/>
      <w:pPr>
        <w:tabs>
          <w:tab w:val="num" w:pos="-5950"/>
        </w:tabs>
        <w:ind w:left="-595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4510"/>
        </w:tabs>
        <w:ind w:left="-4510" w:hanging="360"/>
      </w:pPr>
      <w:rPr>
        <w:rFonts w:ascii="Courier New" w:hAnsi="Courier New" w:cs="Courier New" w:hint="default"/>
      </w:rPr>
    </w:lvl>
    <w:lvl w:ilvl="8" w:tplc="04090005" w:tentative="1">
      <w:start w:val="1"/>
      <w:numFmt w:val="bullet"/>
      <w:lvlText w:val=""/>
      <w:lvlJc w:val="left"/>
      <w:pPr>
        <w:tabs>
          <w:tab w:val="num" w:pos="-3790"/>
        </w:tabs>
        <w:ind w:left="-3790" w:hanging="360"/>
      </w:pPr>
      <w:rPr>
        <w:rFonts w:ascii="Wingdings" w:hAnsi="Wingdings" w:hint="default"/>
      </w:rPr>
    </w:lvl>
  </w:abstractNum>
  <w:abstractNum w:abstractNumId="19" w15:restartNumberingAfterBreak="0">
    <w:nsid w:val="775F5584"/>
    <w:multiLevelType w:val="hybridMultilevel"/>
    <w:tmpl w:val="7E3431B0"/>
    <w:lvl w:ilvl="0" w:tplc="509617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410A6C"/>
    <w:multiLevelType w:val="hybridMultilevel"/>
    <w:tmpl w:val="3DCE5BEE"/>
    <w:lvl w:ilvl="0" w:tplc="04090001">
      <w:start w:val="1"/>
      <w:numFmt w:val="bullet"/>
      <w:lvlText w:val=""/>
      <w:lvlJc w:val="left"/>
      <w:pPr>
        <w:ind w:left="1619" w:hanging="360"/>
      </w:pPr>
      <w:rPr>
        <w:rFonts w:ascii="Symbol" w:hAnsi="Symbol" w:hint="default"/>
      </w:rPr>
    </w:lvl>
    <w:lvl w:ilvl="1" w:tplc="FFFFFFFF">
      <w:numFmt w:val="bullet"/>
      <w:lvlText w:val="-"/>
      <w:lvlJc w:val="left"/>
      <w:pPr>
        <w:ind w:left="2339" w:hanging="360"/>
      </w:pPr>
      <w:rPr>
        <w:rFonts w:ascii="Times New Roman" w:eastAsiaTheme="minorEastAsia" w:hAnsi="Times New Roman" w:cs="Times New Roman" w:hint="default"/>
        <w:b/>
        <w:sz w:val="20"/>
      </w:r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825201637">
    <w:abstractNumId w:val="8"/>
  </w:num>
  <w:num w:numId="2" w16cid:durableId="337000327">
    <w:abstractNumId w:val="18"/>
  </w:num>
  <w:num w:numId="3" w16cid:durableId="297147906">
    <w:abstractNumId w:val="12"/>
  </w:num>
  <w:num w:numId="4" w16cid:durableId="1156074361">
    <w:abstractNumId w:val="13"/>
  </w:num>
  <w:num w:numId="5" w16cid:durableId="974483218">
    <w:abstractNumId w:val="18"/>
  </w:num>
  <w:num w:numId="6" w16cid:durableId="1576936486">
    <w:abstractNumId w:val="18"/>
  </w:num>
  <w:num w:numId="7" w16cid:durableId="538444176">
    <w:abstractNumId w:val="19"/>
  </w:num>
  <w:num w:numId="8" w16cid:durableId="707223313">
    <w:abstractNumId w:val="6"/>
  </w:num>
  <w:num w:numId="9" w16cid:durableId="828129386">
    <w:abstractNumId w:val="16"/>
  </w:num>
  <w:num w:numId="10" w16cid:durableId="1776366693">
    <w:abstractNumId w:val="7"/>
  </w:num>
  <w:num w:numId="11" w16cid:durableId="1143085221">
    <w:abstractNumId w:val="11"/>
  </w:num>
  <w:num w:numId="12" w16cid:durableId="660037007">
    <w:abstractNumId w:val="1"/>
  </w:num>
  <w:num w:numId="13" w16cid:durableId="528179456">
    <w:abstractNumId w:val="4"/>
  </w:num>
  <w:num w:numId="14" w16cid:durableId="574051993">
    <w:abstractNumId w:val="14"/>
  </w:num>
  <w:num w:numId="15" w16cid:durableId="198247376">
    <w:abstractNumId w:val="17"/>
  </w:num>
  <w:num w:numId="16" w16cid:durableId="2016809667">
    <w:abstractNumId w:val="5"/>
  </w:num>
  <w:num w:numId="17" w16cid:durableId="1129930536">
    <w:abstractNumId w:val="10"/>
  </w:num>
  <w:num w:numId="18" w16cid:durableId="1247807047">
    <w:abstractNumId w:val="3"/>
  </w:num>
  <w:num w:numId="19" w16cid:durableId="120392180">
    <w:abstractNumId w:val="9"/>
  </w:num>
  <w:num w:numId="20" w16cid:durableId="2056156825">
    <w:abstractNumId w:val="2"/>
  </w:num>
  <w:num w:numId="21" w16cid:durableId="1986928935">
    <w:abstractNumId w:val="20"/>
  </w:num>
  <w:num w:numId="22" w16cid:durableId="1796410000">
    <w:abstractNumId w:val="0"/>
  </w:num>
  <w:num w:numId="23" w16cid:durableId="213883335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588C"/>
    <w:rsid w:val="000064F6"/>
    <w:rsid w:val="00006EBD"/>
    <w:rsid w:val="00010161"/>
    <w:rsid w:val="00012887"/>
    <w:rsid w:val="00013C23"/>
    <w:rsid w:val="00014703"/>
    <w:rsid w:val="00014752"/>
    <w:rsid w:val="000147A7"/>
    <w:rsid w:val="000152D3"/>
    <w:rsid w:val="00015DE8"/>
    <w:rsid w:val="0001657D"/>
    <w:rsid w:val="0001796A"/>
    <w:rsid w:val="00020686"/>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37FDF"/>
    <w:rsid w:val="00040095"/>
    <w:rsid w:val="0004017A"/>
    <w:rsid w:val="00042439"/>
    <w:rsid w:val="0004341F"/>
    <w:rsid w:val="00044ED2"/>
    <w:rsid w:val="00045625"/>
    <w:rsid w:val="00046AE0"/>
    <w:rsid w:val="0004707F"/>
    <w:rsid w:val="000475DE"/>
    <w:rsid w:val="0005117E"/>
    <w:rsid w:val="000516D8"/>
    <w:rsid w:val="00051F1E"/>
    <w:rsid w:val="0005270E"/>
    <w:rsid w:val="0005392E"/>
    <w:rsid w:val="00053F19"/>
    <w:rsid w:val="0005510E"/>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013"/>
    <w:rsid w:val="00090401"/>
    <w:rsid w:val="00090468"/>
    <w:rsid w:val="00090CEE"/>
    <w:rsid w:val="000926D3"/>
    <w:rsid w:val="00093164"/>
    <w:rsid w:val="000937B0"/>
    <w:rsid w:val="00096258"/>
    <w:rsid w:val="0009765B"/>
    <w:rsid w:val="0009788E"/>
    <w:rsid w:val="00097E94"/>
    <w:rsid w:val="000A050C"/>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09E"/>
    <w:rsid w:val="000C522B"/>
    <w:rsid w:val="000C5567"/>
    <w:rsid w:val="000C5B7B"/>
    <w:rsid w:val="000C5DF5"/>
    <w:rsid w:val="000C77C8"/>
    <w:rsid w:val="000C7894"/>
    <w:rsid w:val="000C7C30"/>
    <w:rsid w:val="000D049B"/>
    <w:rsid w:val="000D0B0C"/>
    <w:rsid w:val="000D137A"/>
    <w:rsid w:val="000D30A2"/>
    <w:rsid w:val="000D3C9D"/>
    <w:rsid w:val="000D4A15"/>
    <w:rsid w:val="000D58AB"/>
    <w:rsid w:val="000D6B39"/>
    <w:rsid w:val="000D7982"/>
    <w:rsid w:val="000E427B"/>
    <w:rsid w:val="000E49BE"/>
    <w:rsid w:val="000E55A2"/>
    <w:rsid w:val="000E5617"/>
    <w:rsid w:val="000E6697"/>
    <w:rsid w:val="000F03B7"/>
    <w:rsid w:val="000F0422"/>
    <w:rsid w:val="000F2F84"/>
    <w:rsid w:val="000F30BC"/>
    <w:rsid w:val="000F342D"/>
    <w:rsid w:val="000F5547"/>
    <w:rsid w:val="000F5CC9"/>
    <w:rsid w:val="000F5DDE"/>
    <w:rsid w:val="000F796E"/>
    <w:rsid w:val="00101232"/>
    <w:rsid w:val="00101A48"/>
    <w:rsid w:val="00101BA1"/>
    <w:rsid w:val="00102DAD"/>
    <w:rsid w:val="00102FE8"/>
    <w:rsid w:val="00104704"/>
    <w:rsid w:val="00105F13"/>
    <w:rsid w:val="00106455"/>
    <w:rsid w:val="00107EE0"/>
    <w:rsid w:val="0011222A"/>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6209"/>
    <w:rsid w:val="00126D29"/>
    <w:rsid w:val="001271C1"/>
    <w:rsid w:val="00130949"/>
    <w:rsid w:val="00131495"/>
    <w:rsid w:val="0013234A"/>
    <w:rsid w:val="00134105"/>
    <w:rsid w:val="0013487C"/>
    <w:rsid w:val="0013569E"/>
    <w:rsid w:val="00135C51"/>
    <w:rsid w:val="00135E44"/>
    <w:rsid w:val="00135EC2"/>
    <w:rsid w:val="00137B44"/>
    <w:rsid w:val="00140C86"/>
    <w:rsid w:val="001415F7"/>
    <w:rsid w:val="0014488C"/>
    <w:rsid w:val="00145075"/>
    <w:rsid w:val="0014593A"/>
    <w:rsid w:val="00145DD6"/>
    <w:rsid w:val="00146FB1"/>
    <w:rsid w:val="0014714F"/>
    <w:rsid w:val="0014751F"/>
    <w:rsid w:val="00147B8F"/>
    <w:rsid w:val="00147D5A"/>
    <w:rsid w:val="0015058A"/>
    <w:rsid w:val="00152357"/>
    <w:rsid w:val="001543BB"/>
    <w:rsid w:val="00154D78"/>
    <w:rsid w:val="001557C1"/>
    <w:rsid w:val="001560D4"/>
    <w:rsid w:val="001568A4"/>
    <w:rsid w:val="00157634"/>
    <w:rsid w:val="0015777C"/>
    <w:rsid w:val="00157B0B"/>
    <w:rsid w:val="00157D74"/>
    <w:rsid w:val="0016098E"/>
    <w:rsid w:val="00160AF6"/>
    <w:rsid w:val="00161683"/>
    <w:rsid w:val="001619CF"/>
    <w:rsid w:val="0016224C"/>
    <w:rsid w:val="00162A76"/>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1456"/>
    <w:rsid w:val="00181A75"/>
    <w:rsid w:val="001822E5"/>
    <w:rsid w:val="00182DE1"/>
    <w:rsid w:val="00183165"/>
    <w:rsid w:val="001833C6"/>
    <w:rsid w:val="00183953"/>
    <w:rsid w:val="00186DE6"/>
    <w:rsid w:val="00190142"/>
    <w:rsid w:val="00190C58"/>
    <w:rsid w:val="00194CC5"/>
    <w:rsid w:val="00194CD0"/>
    <w:rsid w:val="00196C23"/>
    <w:rsid w:val="00196DF8"/>
    <w:rsid w:val="0019734B"/>
    <w:rsid w:val="0019788E"/>
    <w:rsid w:val="00197EEF"/>
    <w:rsid w:val="001A16DE"/>
    <w:rsid w:val="001A2B4C"/>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176"/>
    <w:rsid w:val="001D15C1"/>
    <w:rsid w:val="001D379F"/>
    <w:rsid w:val="001D3A7D"/>
    <w:rsid w:val="001D4FB0"/>
    <w:rsid w:val="001D599B"/>
    <w:rsid w:val="001D6CF3"/>
    <w:rsid w:val="001E0721"/>
    <w:rsid w:val="001E284D"/>
    <w:rsid w:val="001E53A0"/>
    <w:rsid w:val="001E5C04"/>
    <w:rsid w:val="001E70D7"/>
    <w:rsid w:val="001E79A4"/>
    <w:rsid w:val="001F10E0"/>
    <w:rsid w:val="001F168B"/>
    <w:rsid w:val="001F1CFE"/>
    <w:rsid w:val="001F2E7F"/>
    <w:rsid w:val="001F34F3"/>
    <w:rsid w:val="001F5491"/>
    <w:rsid w:val="001F5C44"/>
    <w:rsid w:val="001F5CC4"/>
    <w:rsid w:val="001F632B"/>
    <w:rsid w:val="001F675C"/>
    <w:rsid w:val="001F7831"/>
    <w:rsid w:val="0020111A"/>
    <w:rsid w:val="0020159A"/>
    <w:rsid w:val="002016BF"/>
    <w:rsid w:val="00201844"/>
    <w:rsid w:val="00201B08"/>
    <w:rsid w:val="0020204C"/>
    <w:rsid w:val="002029A9"/>
    <w:rsid w:val="00202C94"/>
    <w:rsid w:val="00203645"/>
    <w:rsid w:val="0020370C"/>
    <w:rsid w:val="00204045"/>
    <w:rsid w:val="0020425F"/>
    <w:rsid w:val="00206ED3"/>
    <w:rsid w:val="00207079"/>
    <w:rsid w:val="0021353E"/>
    <w:rsid w:val="002138DD"/>
    <w:rsid w:val="00214E95"/>
    <w:rsid w:val="00215C7D"/>
    <w:rsid w:val="00216471"/>
    <w:rsid w:val="00216FA7"/>
    <w:rsid w:val="002202EB"/>
    <w:rsid w:val="00220646"/>
    <w:rsid w:val="00221DC7"/>
    <w:rsid w:val="00221E06"/>
    <w:rsid w:val="00222C75"/>
    <w:rsid w:val="0022361C"/>
    <w:rsid w:val="00223AD3"/>
    <w:rsid w:val="00224198"/>
    <w:rsid w:val="002244A9"/>
    <w:rsid w:val="00225498"/>
    <w:rsid w:val="002256A6"/>
    <w:rsid w:val="0022589F"/>
    <w:rsid w:val="0022606D"/>
    <w:rsid w:val="00226205"/>
    <w:rsid w:val="00226347"/>
    <w:rsid w:val="00233196"/>
    <w:rsid w:val="00233A4C"/>
    <w:rsid w:val="00235144"/>
    <w:rsid w:val="00235846"/>
    <w:rsid w:val="0023614D"/>
    <w:rsid w:val="002364A5"/>
    <w:rsid w:val="00242D19"/>
    <w:rsid w:val="002442CA"/>
    <w:rsid w:val="0024485F"/>
    <w:rsid w:val="00245B7D"/>
    <w:rsid w:val="0024608F"/>
    <w:rsid w:val="00250812"/>
    <w:rsid w:val="00250B04"/>
    <w:rsid w:val="0025406F"/>
    <w:rsid w:val="00254484"/>
    <w:rsid w:val="00256B66"/>
    <w:rsid w:val="00260AE7"/>
    <w:rsid w:val="00262113"/>
    <w:rsid w:val="0026214B"/>
    <w:rsid w:val="00262EDD"/>
    <w:rsid w:val="0026614D"/>
    <w:rsid w:val="0027053F"/>
    <w:rsid w:val="00270F19"/>
    <w:rsid w:val="00271E30"/>
    <w:rsid w:val="00271E96"/>
    <w:rsid w:val="00272C79"/>
    <w:rsid w:val="002747EC"/>
    <w:rsid w:val="00274E85"/>
    <w:rsid w:val="0027537D"/>
    <w:rsid w:val="00276F43"/>
    <w:rsid w:val="002779A1"/>
    <w:rsid w:val="002805EC"/>
    <w:rsid w:val="00281980"/>
    <w:rsid w:val="002828C0"/>
    <w:rsid w:val="00282E36"/>
    <w:rsid w:val="0028311E"/>
    <w:rsid w:val="002855BF"/>
    <w:rsid w:val="00290FC1"/>
    <w:rsid w:val="002927F2"/>
    <w:rsid w:val="00293031"/>
    <w:rsid w:val="002956AA"/>
    <w:rsid w:val="002966A8"/>
    <w:rsid w:val="00296DE5"/>
    <w:rsid w:val="002A00A9"/>
    <w:rsid w:val="002A09FF"/>
    <w:rsid w:val="002A4AD1"/>
    <w:rsid w:val="002A64CB"/>
    <w:rsid w:val="002A717B"/>
    <w:rsid w:val="002B17AD"/>
    <w:rsid w:val="002B2FC5"/>
    <w:rsid w:val="002B4AC3"/>
    <w:rsid w:val="002B69DE"/>
    <w:rsid w:val="002B7133"/>
    <w:rsid w:val="002C20DD"/>
    <w:rsid w:val="002C3919"/>
    <w:rsid w:val="002C4A37"/>
    <w:rsid w:val="002C6EDD"/>
    <w:rsid w:val="002C708A"/>
    <w:rsid w:val="002C72D4"/>
    <w:rsid w:val="002D10D9"/>
    <w:rsid w:val="002D1D6B"/>
    <w:rsid w:val="002D2415"/>
    <w:rsid w:val="002D2AB9"/>
    <w:rsid w:val="002D4340"/>
    <w:rsid w:val="002D50EB"/>
    <w:rsid w:val="002D798A"/>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C58"/>
    <w:rsid w:val="002F55AC"/>
    <w:rsid w:val="002F61D6"/>
    <w:rsid w:val="0030002C"/>
    <w:rsid w:val="003007BF"/>
    <w:rsid w:val="0030249C"/>
    <w:rsid w:val="00305ECA"/>
    <w:rsid w:val="00306271"/>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3C14"/>
    <w:rsid w:val="0032434D"/>
    <w:rsid w:val="00326019"/>
    <w:rsid w:val="00326069"/>
    <w:rsid w:val="00326242"/>
    <w:rsid w:val="0033176D"/>
    <w:rsid w:val="00331D99"/>
    <w:rsid w:val="00333081"/>
    <w:rsid w:val="00335983"/>
    <w:rsid w:val="00335990"/>
    <w:rsid w:val="003360BD"/>
    <w:rsid w:val="00336957"/>
    <w:rsid w:val="00336CEE"/>
    <w:rsid w:val="00336E72"/>
    <w:rsid w:val="00336F8B"/>
    <w:rsid w:val="00337B1A"/>
    <w:rsid w:val="003408F6"/>
    <w:rsid w:val="00340AC4"/>
    <w:rsid w:val="003414FC"/>
    <w:rsid w:val="003417CA"/>
    <w:rsid w:val="003424E1"/>
    <w:rsid w:val="00342578"/>
    <w:rsid w:val="00342D78"/>
    <w:rsid w:val="00343C86"/>
    <w:rsid w:val="00344236"/>
    <w:rsid w:val="003442D2"/>
    <w:rsid w:val="003445D6"/>
    <w:rsid w:val="00344969"/>
    <w:rsid w:val="00344C13"/>
    <w:rsid w:val="003452AB"/>
    <w:rsid w:val="003459C4"/>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65E1"/>
    <w:rsid w:val="0036720B"/>
    <w:rsid w:val="00370364"/>
    <w:rsid w:val="00371744"/>
    <w:rsid w:val="00372D36"/>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455"/>
    <w:rsid w:val="00384E6A"/>
    <w:rsid w:val="00384F96"/>
    <w:rsid w:val="003860EA"/>
    <w:rsid w:val="0038677D"/>
    <w:rsid w:val="0039145F"/>
    <w:rsid w:val="0039162B"/>
    <w:rsid w:val="003918E2"/>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A663B"/>
    <w:rsid w:val="003A7F6E"/>
    <w:rsid w:val="003B142A"/>
    <w:rsid w:val="003B1B8C"/>
    <w:rsid w:val="003B2D03"/>
    <w:rsid w:val="003B372F"/>
    <w:rsid w:val="003B3B2C"/>
    <w:rsid w:val="003B3DFA"/>
    <w:rsid w:val="003B40AD"/>
    <w:rsid w:val="003B5BB7"/>
    <w:rsid w:val="003B6713"/>
    <w:rsid w:val="003B7AD1"/>
    <w:rsid w:val="003C0176"/>
    <w:rsid w:val="003C0FA8"/>
    <w:rsid w:val="003C1BCC"/>
    <w:rsid w:val="003C2271"/>
    <w:rsid w:val="003C4A24"/>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2393"/>
    <w:rsid w:val="003E4A6A"/>
    <w:rsid w:val="003E4DDA"/>
    <w:rsid w:val="003E588D"/>
    <w:rsid w:val="003E6C37"/>
    <w:rsid w:val="003E6D72"/>
    <w:rsid w:val="003F037E"/>
    <w:rsid w:val="003F1AF2"/>
    <w:rsid w:val="003F28F4"/>
    <w:rsid w:val="003F3E81"/>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69D0"/>
    <w:rsid w:val="004275A9"/>
    <w:rsid w:val="00430397"/>
    <w:rsid w:val="00430D92"/>
    <w:rsid w:val="004316D5"/>
    <w:rsid w:val="0043393F"/>
    <w:rsid w:val="0043492C"/>
    <w:rsid w:val="00435311"/>
    <w:rsid w:val="004378F1"/>
    <w:rsid w:val="00437E0C"/>
    <w:rsid w:val="00440AA6"/>
    <w:rsid w:val="00443341"/>
    <w:rsid w:val="00446B6D"/>
    <w:rsid w:val="00447717"/>
    <w:rsid w:val="004477E7"/>
    <w:rsid w:val="00447946"/>
    <w:rsid w:val="004522CC"/>
    <w:rsid w:val="00453473"/>
    <w:rsid w:val="0045378B"/>
    <w:rsid w:val="00454656"/>
    <w:rsid w:val="00456872"/>
    <w:rsid w:val="00456B3D"/>
    <w:rsid w:val="004570B4"/>
    <w:rsid w:val="00457661"/>
    <w:rsid w:val="00460045"/>
    <w:rsid w:val="00463569"/>
    <w:rsid w:val="00465CB0"/>
    <w:rsid w:val="00466012"/>
    <w:rsid w:val="00466468"/>
    <w:rsid w:val="004672EE"/>
    <w:rsid w:val="00467A94"/>
    <w:rsid w:val="00467AC6"/>
    <w:rsid w:val="00471CDE"/>
    <w:rsid w:val="00471FE7"/>
    <w:rsid w:val="0047331C"/>
    <w:rsid w:val="00474C33"/>
    <w:rsid w:val="0047536C"/>
    <w:rsid w:val="00476400"/>
    <w:rsid w:val="0047695E"/>
    <w:rsid w:val="00476C52"/>
    <w:rsid w:val="00476CAD"/>
    <w:rsid w:val="00477455"/>
    <w:rsid w:val="004807E3"/>
    <w:rsid w:val="0048130D"/>
    <w:rsid w:val="004832C4"/>
    <w:rsid w:val="00483C1D"/>
    <w:rsid w:val="00485492"/>
    <w:rsid w:val="00485BDB"/>
    <w:rsid w:val="00486410"/>
    <w:rsid w:val="004864C2"/>
    <w:rsid w:val="00486FEA"/>
    <w:rsid w:val="00490D5E"/>
    <w:rsid w:val="00491130"/>
    <w:rsid w:val="00492258"/>
    <w:rsid w:val="00492558"/>
    <w:rsid w:val="00494EA9"/>
    <w:rsid w:val="0049656C"/>
    <w:rsid w:val="004972DD"/>
    <w:rsid w:val="004A0319"/>
    <w:rsid w:val="004A087E"/>
    <w:rsid w:val="004A2B72"/>
    <w:rsid w:val="004A2D7D"/>
    <w:rsid w:val="004A32F3"/>
    <w:rsid w:val="004A4700"/>
    <w:rsid w:val="004A59FA"/>
    <w:rsid w:val="004A65D2"/>
    <w:rsid w:val="004A68F4"/>
    <w:rsid w:val="004B20E3"/>
    <w:rsid w:val="004B39DD"/>
    <w:rsid w:val="004B41F8"/>
    <w:rsid w:val="004B5CED"/>
    <w:rsid w:val="004B6388"/>
    <w:rsid w:val="004B68D7"/>
    <w:rsid w:val="004B7120"/>
    <w:rsid w:val="004C1531"/>
    <w:rsid w:val="004C1974"/>
    <w:rsid w:val="004C229D"/>
    <w:rsid w:val="004C2E68"/>
    <w:rsid w:val="004C400B"/>
    <w:rsid w:val="004C5A95"/>
    <w:rsid w:val="004C6BCC"/>
    <w:rsid w:val="004C7E7C"/>
    <w:rsid w:val="004D1DC6"/>
    <w:rsid w:val="004D2E38"/>
    <w:rsid w:val="004D3578"/>
    <w:rsid w:val="004D380D"/>
    <w:rsid w:val="004D383A"/>
    <w:rsid w:val="004E0C79"/>
    <w:rsid w:val="004E0CD4"/>
    <w:rsid w:val="004E213A"/>
    <w:rsid w:val="004E2910"/>
    <w:rsid w:val="004E2917"/>
    <w:rsid w:val="004E383E"/>
    <w:rsid w:val="004E48C4"/>
    <w:rsid w:val="004E7CCA"/>
    <w:rsid w:val="004F0DE1"/>
    <w:rsid w:val="004F10A5"/>
    <w:rsid w:val="004F156A"/>
    <w:rsid w:val="004F158C"/>
    <w:rsid w:val="004F51B8"/>
    <w:rsid w:val="004F76F3"/>
    <w:rsid w:val="00502735"/>
    <w:rsid w:val="00502BC6"/>
    <w:rsid w:val="00503171"/>
    <w:rsid w:val="005037A0"/>
    <w:rsid w:val="0050524D"/>
    <w:rsid w:val="00506900"/>
    <w:rsid w:val="00506C28"/>
    <w:rsid w:val="00507DCE"/>
    <w:rsid w:val="00511F56"/>
    <w:rsid w:val="0051299A"/>
    <w:rsid w:val="0051442A"/>
    <w:rsid w:val="00516518"/>
    <w:rsid w:val="005166D3"/>
    <w:rsid w:val="005169F2"/>
    <w:rsid w:val="0051770A"/>
    <w:rsid w:val="00522978"/>
    <w:rsid w:val="005234CD"/>
    <w:rsid w:val="00523FEE"/>
    <w:rsid w:val="0052482C"/>
    <w:rsid w:val="00527DE0"/>
    <w:rsid w:val="00530FE9"/>
    <w:rsid w:val="00531145"/>
    <w:rsid w:val="00532A92"/>
    <w:rsid w:val="00534DA0"/>
    <w:rsid w:val="0053506A"/>
    <w:rsid w:val="0053556B"/>
    <w:rsid w:val="00540007"/>
    <w:rsid w:val="00542D97"/>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0BDB"/>
    <w:rsid w:val="00561CD2"/>
    <w:rsid w:val="00562314"/>
    <w:rsid w:val="0056469D"/>
    <w:rsid w:val="0056480F"/>
    <w:rsid w:val="00565087"/>
    <w:rsid w:val="0056573F"/>
    <w:rsid w:val="00566566"/>
    <w:rsid w:val="005702AA"/>
    <w:rsid w:val="0057072F"/>
    <w:rsid w:val="00570858"/>
    <w:rsid w:val="0057085C"/>
    <w:rsid w:val="0057139D"/>
    <w:rsid w:val="00571FB4"/>
    <w:rsid w:val="00573B7D"/>
    <w:rsid w:val="00573DDF"/>
    <w:rsid w:val="005740A5"/>
    <w:rsid w:val="0057551C"/>
    <w:rsid w:val="0057609B"/>
    <w:rsid w:val="0057656C"/>
    <w:rsid w:val="0058047C"/>
    <w:rsid w:val="00580A44"/>
    <w:rsid w:val="00580E96"/>
    <w:rsid w:val="00582CDB"/>
    <w:rsid w:val="00584EE9"/>
    <w:rsid w:val="005855AB"/>
    <w:rsid w:val="005862E2"/>
    <w:rsid w:val="00586897"/>
    <w:rsid w:val="00586CF6"/>
    <w:rsid w:val="00587B48"/>
    <w:rsid w:val="005900CE"/>
    <w:rsid w:val="00591100"/>
    <w:rsid w:val="005913BD"/>
    <w:rsid w:val="005920E6"/>
    <w:rsid w:val="00593B6E"/>
    <w:rsid w:val="0059652A"/>
    <w:rsid w:val="005A077E"/>
    <w:rsid w:val="005A0B84"/>
    <w:rsid w:val="005A0BC5"/>
    <w:rsid w:val="005A11E5"/>
    <w:rsid w:val="005A14B6"/>
    <w:rsid w:val="005A166D"/>
    <w:rsid w:val="005A6916"/>
    <w:rsid w:val="005A73AD"/>
    <w:rsid w:val="005B0172"/>
    <w:rsid w:val="005B1DC5"/>
    <w:rsid w:val="005B249B"/>
    <w:rsid w:val="005B3C9A"/>
    <w:rsid w:val="005B3F3E"/>
    <w:rsid w:val="005B4474"/>
    <w:rsid w:val="005B46AD"/>
    <w:rsid w:val="005C0207"/>
    <w:rsid w:val="005C13F7"/>
    <w:rsid w:val="005C15EC"/>
    <w:rsid w:val="005C2845"/>
    <w:rsid w:val="005C43EE"/>
    <w:rsid w:val="005C528A"/>
    <w:rsid w:val="005C7E45"/>
    <w:rsid w:val="005D3307"/>
    <w:rsid w:val="005D4D93"/>
    <w:rsid w:val="005D53AD"/>
    <w:rsid w:val="005D5447"/>
    <w:rsid w:val="005D661E"/>
    <w:rsid w:val="005E1A07"/>
    <w:rsid w:val="005E359C"/>
    <w:rsid w:val="005E5D4F"/>
    <w:rsid w:val="005E6A6C"/>
    <w:rsid w:val="005F071B"/>
    <w:rsid w:val="005F21F1"/>
    <w:rsid w:val="005F2EDF"/>
    <w:rsid w:val="005F3692"/>
    <w:rsid w:val="005F4E8E"/>
    <w:rsid w:val="005F70C3"/>
    <w:rsid w:val="005F7843"/>
    <w:rsid w:val="005F7BA9"/>
    <w:rsid w:val="0060164A"/>
    <w:rsid w:val="00602641"/>
    <w:rsid w:val="00602A37"/>
    <w:rsid w:val="00603219"/>
    <w:rsid w:val="00604765"/>
    <w:rsid w:val="00605118"/>
    <w:rsid w:val="006067A4"/>
    <w:rsid w:val="006112AF"/>
    <w:rsid w:val="00611566"/>
    <w:rsid w:val="00612061"/>
    <w:rsid w:val="00613340"/>
    <w:rsid w:val="00614757"/>
    <w:rsid w:val="00614EE6"/>
    <w:rsid w:val="00615CCD"/>
    <w:rsid w:val="00621140"/>
    <w:rsid w:val="006211DA"/>
    <w:rsid w:val="00621371"/>
    <w:rsid w:val="00623713"/>
    <w:rsid w:val="00623A25"/>
    <w:rsid w:val="00624826"/>
    <w:rsid w:val="00626696"/>
    <w:rsid w:val="00626997"/>
    <w:rsid w:val="0062739F"/>
    <w:rsid w:val="00627458"/>
    <w:rsid w:val="00631DBD"/>
    <w:rsid w:val="00632222"/>
    <w:rsid w:val="00635F47"/>
    <w:rsid w:val="00636F36"/>
    <w:rsid w:val="00641DC4"/>
    <w:rsid w:val="00641F14"/>
    <w:rsid w:val="00642C4E"/>
    <w:rsid w:val="0064411C"/>
    <w:rsid w:val="006441F6"/>
    <w:rsid w:val="006454FE"/>
    <w:rsid w:val="00645D44"/>
    <w:rsid w:val="006465F3"/>
    <w:rsid w:val="00646B77"/>
    <w:rsid w:val="00646D28"/>
    <w:rsid w:val="00646D99"/>
    <w:rsid w:val="00647E8B"/>
    <w:rsid w:val="00650084"/>
    <w:rsid w:val="00650AE8"/>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5BE7"/>
    <w:rsid w:val="00666483"/>
    <w:rsid w:val="00666DD5"/>
    <w:rsid w:val="006678B0"/>
    <w:rsid w:val="00670FA9"/>
    <w:rsid w:val="006729E9"/>
    <w:rsid w:val="00672E6C"/>
    <w:rsid w:val="006731E0"/>
    <w:rsid w:val="006762DC"/>
    <w:rsid w:val="0068064C"/>
    <w:rsid w:val="00680C10"/>
    <w:rsid w:val="00680EE0"/>
    <w:rsid w:val="00681379"/>
    <w:rsid w:val="006829F2"/>
    <w:rsid w:val="00682D58"/>
    <w:rsid w:val="006856CF"/>
    <w:rsid w:val="006901D6"/>
    <w:rsid w:val="006926BA"/>
    <w:rsid w:val="00692FC3"/>
    <w:rsid w:val="00693326"/>
    <w:rsid w:val="00693373"/>
    <w:rsid w:val="00694012"/>
    <w:rsid w:val="00694D2A"/>
    <w:rsid w:val="006965CD"/>
    <w:rsid w:val="00696DF2"/>
    <w:rsid w:val="00697858"/>
    <w:rsid w:val="006A1436"/>
    <w:rsid w:val="006A180F"/>
    <w:rsid w:val="006A1B7F"/>
    <w:rsid w:val="006A334F"/>
    <w:rsid w:val="006A456D"/>
    <w:rsid w:val="006A48C8"/>
    <w:rsid w:val="006A5153"/>
    <w:rsid w:val="006A54BE"/>
    <w:rsid w:val="006A6944"/>
    <w:rsid w:val="006A6AE6"/>
    <w:rsid w:val="006A6D27"/>
    <w:rsid w:val="006B0254"/>
    <w:rsid w:val="006B1EBB"/>
    <w:rsid w:val="006B4D84"/>
    <w:rsid w:val="006B605E"/>
    <w:rsid w:val="006B6466"/>
    <w:rsid w:val="006B6544"/>
    <w:rsid w:val="006B7943"/>
    <w:rsid w:val="006C1519"/>
    <w:rsid w:val="006C4CC8"/>
    <w:rsid w:val="006C6225"/>
    <w:rsid w:val="006C66D8"/>
    <w:rsid w:val="006C768F"/>
    <w:rsid w:val="006C7F23"/>
    <w:rsid w:val="006D0C80"/>
    <w:rsid w:val="006D0EC9"/>
    <w:rsid w:val="006D1466"/>
    <w:rsid w:val="006D1E24"/>
    <w:rsid w:val="006D21DD"/>
    <w:rsid w:val="006D26EE"/>
    <w:rsid w:val="006D448F"/>
    <w:rsid w:val="006D4CB0"/>
    <w:rsid w:val="006D6848"/>
    <w:rsid w:val="006D7D62"/>
    <w:rsid w:val="006E08C3"/>
    <w:rsid w:val="006E1417"/>
    <w:rsid w:val="006E1583"/>
    <w:rsid w:val="006E3F49"/>
    <w:rsid w:val="006E4365"/>
    <w:rsid w:val="006E5AD2"/>
    <w:rsid w:val="006E6C16"/>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127"/>
    <w:rsid w:val="007312D2"/>
    <w:rsid w:val="007317F6"/>
    <w:rsid w:val="00734A5B"/>
    <w:rsid w:val="00734CEE"/>
    <w:rsid w:val="00735E81"/>
    <w:rsid w:val="00735F8A"/>
    <w:rsid w:val="00740DC3"/>
    <w:rsid w:val="007418B7"/>
    <w:rsid w:val="007419EF"/>
    <w:rsid w:val="00741E7A"/>
    <w:rsid w:val="00744E76"/>
    <w:rsid w:val="007460EF"/>
    <w:rsid w:val="0074662F"/>
    <w:rsid w:val="007478F0"/>
    <w:rsid w:val="00747A03"/>
    <w:rsid w:val="00747D0A"/>
    <w:rsid w:val="007504A9"/>
    <w:rsid w:val="00750C1F"/>
    <w:rsid w:val="0075199C"/>
    <w:rsid w:val="00753591"/>
    <w:rsid w:val="007542F1"/>
    <w:rsid w:val="00754F5F"/>
    <w:rsid w:val="00757D40"/>
    <w:rsid w:val="00760022"/>
    <w:rsid w:val="00761B1F"/>
    <w:rsid w:val="00761C2B"/>
    <w:rsid w:val="007633DD"/>
    <w:rsid w:val="007636D3"/>
    <w:rsid w:val="00763D90"/>
    <w:rsid w:val="007658B7"/>
    <w:rsid w:val="007665C4"/>
    <w:rsid w:val="00766E43"/>
    <w:rsid w:val="0076792F"/>
    <w:rsid w:val="00771416"/>
    <w:rsid w:val="00771BCD"/>
    <w:rsid w:val="00771E2F"/>
    <w:rsid w:val="00773A96"/>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1A9"/>
    <w:rsid w:val="007914C8"/>
    <w:rsid w:val="00793504"/>
    <w:rsid w:val="00793A53"/>
    <w:rsid w:val="00793CCC"/>
    <w:rsid w:val="00793E48"/>
    <w:rsid w:val="00794590"/>
    <w:rsid w:val="0079664E"/>
    <w:rsid w:val="007A0019"/>
    <w:rsid w:val="007A0634"/>
    <w:rsid w:val="007A17F0"/>
    <w:rsid w:val="007A2383"/>
    <w:rsid w:val="007A5735"/>
    <w:rsid w:val="007A72E5"/>
    <w:rsid w:val="007B12D7"/>
    <w:rsid w:val="007B18D8"/>
    <w:rsid w:val="007B3472"/>
    <w:rsid w:val="007B494B"/>
    <w:rsid w:val="007B5408"/>
    <w:rsid w:val="007B579C"/>
    <w:rsid w:val="007B5C20"/>
    <w:rsid w:val="007B7D44"/>
    <w:rsid w:val="007C095F"/>
    <w:rsid w:val="007C1897"/>
    <w:rsid w:val="007C2012"/>
    <w:rsid w:val="007C261C"/>
    <w:rsid w:val="007C2977"/>
    <w:rsid w:val="007C2EC4"/>
    <w:rsid w:val="007C3413"/>
    <w:rsid w:val="007C67D2"/>
    <w:rsid w:val="007C77C4"/>
    <w:rsid w:val="007C7FA2"/>
    <w:rsid w:val="007D107C"/>
    <w:rsid w:val="007D1B85"/>
    <w:rsid w:val="007D1FD5"/>
    <w:rsid w:val="007D309E"/>
    <w:rsid w:val="007D3AF6"/>
    <w:rsid w:val="007D4B38"/>
    <w:rsid w:val="007D5BED"/>
    <w:rsid w:val="007D5EF6"/>
    <w:rsid w:val="007D692E"/>
    <w:rsid w:val="007D7D25"/>
    <w:rsid w:val="007E4556"/>
    <w:rsid w:val="007E457A"/>
    <w:rsid w:val="007E515A"/>
    <w:rsid w:val="007F04EE"/>
    <w:rsid w:val="007F14AD"/>
    <w:rsid w:val="007F31EB"/>
    <w:rsid w:val="007F7268"/>
    <w:rsid w:val="007F7342"/>
    <w:rsid w:val="007F7946"/>
    <w:rsid w:val="00800D57"/>
    <w:rsid w:val="00801BAD"/>
    <w:rsid w:val="00801D40"/>
    <w:rsid w:val="008028A4"/>
    <w:rsid w:val="00802F07"/>
    <w:rsid w:val="0080333D"/>
    <w:rsid w:val="00805E0B"/>
    <w:rsid w:val="00806310"/>
    <w:rsid w:val="0080673F"/>
    <w:rsid w:val="00812B0C"/>
    <w:rsid w:val="00813245"/>
    <w:rsid w:val="00815481"/>
    <w:rsid w:val="00815694"/>
    <w:rsid w:val="00815852"/>
    <w:rsid w:val="008168B6"/>
    <w:rsid w:val="00816D27"/>
    <w:rsid w:val="00817883"/>
    <w:rsid w:val="00817FAF"/>
    <w:rsid w:val="00820AB0"/>
    <w:rsid w:val="0082162B"/>
    <w:rsid w:val="00821AED"/>
    <w:rsid w:val="00822184"/>
    <w:rsid w:val="00823732"/>
    <w:rsid w:val="00823DA9"/>
    <w:rsid w:val="00824755"/>
    <w:rsid w:val="008265B1"/>
    <w:rsid w:val="008267DC"/>
    <w:rsid w:val="00827C55"/>
    <w:rsid w:val="008301FB"/>
    <w:rsid w:val="008324A5"/>
    <w:rsid w:val="00834604"/>
    <w:rsid w:val="00834A6D"/>
    <w:rsid w:val="00835415"/>
    <w:rsid w:val="00845E80"/>
    <w:rsid w:val="008460EF"/>
    <w:rsid w:val="0084763A"/>
    <w:rsid w:val="008504EC"/>
    <w:rsid w:val="00850BBB"/>
    <w:rsid w:val="00850CBF"/>
    <w:rsid w:val="00851218"/>
    <w:rsid w:val="00852D23"/>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87C80"/>
    <w:rsid w:val="00891620"/>
    <w:rsid w:val="008916F0"/>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B0B0E"/>
    <w:rsid w:val="008B192A"/>
    <w:rsid w:val="008B44F1"/>
    <w:rsid w:val="008B477F"/>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D7D45"/>
    <w:rsid w:val="008E131E"/>
    <w:rsid w:val="008E22FF"/>
    <w:rsid w:val="008E345E"/>
    <w:rsid w:val="008E3B19"/>
    <w:rsid w:val="008E412B"/>
    <w:rsid w:val="008F2039"/>
    <w:rsid w:val="008F2BF7"/>
    <w:rsid w:val="008F2E9A"/>
    <w:rsid w:val="00901335"/>
    <w:rsid w:val="0090187C"/>
    <w:rsid w:val="009024E8"/>
    <w:rsid w:val="0090271F"/>
    <w:rsid w:val="00902DB9"/>
    <w:rsid w:val="00903DD4"/>
    <w:rsid w:val="0090466A"/>
    <w:rsid w:val="009062D3"/>
    <w:rsid w:val="00907D1D"/>
    <w:rsid w:val="00907DD2"/>
    <w:rsid w:val="00911A3A"/>
    <w:rsid w:val="00911DEA"/>
    <w:rsid w:val="00912CD4"/>
    <w:rsid w:val="00915711"/>
    <w:rsid w:val="0091771F"/>
    <w:rsid w:val="00917ABE"/>
    <w:rsid w:val="0092024A"/>
    <w:rsid w:val="009213F5"/>
    <w:rsid w:val="00921F58"/>
    <w:rsid w:val="009227F9"/>
    <w:rsid w:val="00922DC1"/>
    <w:rsid w:val="0092322B"/>
    <w:rsid w:val="00924497"/>
    <w:rsid w:val="00924D2C"/>
    <w:rsid w:val="0092657D"/>
    <w:rsid w:val="00931360"/>
    <w:rsid w:val="0093138B"/>
    <w:rsid w:val="00931AF4"/>
    <w:rsid w:val="00933F83"/>
    <w:rsid w:val="00936071"/>
    <w:rsid w:val="00940212"/>
    <w:rsid w:val="0094197F"/>
    <w:rsid w:val="00942E6A"/>
    <w:rsid w:val="00942EC2"/>
    <w:rsid w:val="00943958"/>
    <w:rsid w:val="009442D7"/>
    <w:rsid w:val="009454B8"/>
    <w:rsid w:val="00945597"/>
    <w:rsid w:val="00945B30"/>
    <w:rsid w:val="009466BE"/>
    <w:rsid w:val="00946A16"/>
    <w:rsid w:val="0094798C"/>
    <w:rsid w:val="00952A0E"/>
    <w:rsid w:val="00952AA4"/>
    <w:rsid w:val="0095306B"/>
    <w:rsid w:val="0095382B"/>
    <w:rsid w:val="00955470"/>
    <w:rsid w:val="009556D0"/>
    <w:rsid w:val="00956A9D"/>
    <w:rsid w:val="00957D2B"/>
    <w:rsid w:val="00957E6F"/>
    <w:rsid w:val="00961B32"/>
    <w:rsid w:val="00962174"/>
    <w:rsid w:val="0096294B"/>
    <w:rsid w:val="0096408F"/>
    <w:rsid w:val="00964344"/>
    <w:rsid w:val="009647CF"/>
    <w:rsid w:val="009656AD"/>
    <w:rsid w:val="009658F8"/>
    <w:rsid w:val="00965966"/>
    <w:rsid w:val="0097016A"/>
    <w:rsid w:val="009709BE"/>
    <w:rsid w:val="00970DB3"/>
    <w:rsid w:val="00971212"/>
    <w:rsid w:val="009738F6"/>
    <w:rsid w:val="00974940"/>
    <w:rsid w:val="00974B05"/>
    <w:rsid w:val="00974BB0"/>
    <w:rsid w:val="00976F08"/>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0F82"/>
    <w:rsid w:val="009A1A7C"/>
    <w:rsid w:val="009A1E95"/>
    <w:rsid w:val="009A36A2"/>
    <w:rsid w:val="009A4136"/>
    <w:rsid w:val="009A443C"/>
    <w:rsid w:val="009A4E65"/>
    <w:rsid w:val="009A50C5"/>
    <w:rsid w:val="009A7362"/>
    <w:rsid w:val="009A7F1A"/>
    <w:rsid w:val="009B07CD"/>
    <w:rsid w:val="009B113E"/>
    <w:rsid w:val="009B16DE"/>
    <w:rsid w:val="009B2074"/>
    <w:rsid w:val="009B2F4A"/>
    <w:rsid w:val="009B519E"/>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2E6"/>
    <w:rsid w:val="009E079A"/>
    <w:rsid w:val="009E1A17"/>
    <w:rsid w:val="009E2AA6"/>
    <w:rsid w:val="009E3C02"/>
    <w:rsid w:val="009E3D1A"/>
    <w:rsid w:val="009E44ED"/>
    <w:rsid w:val="009E747C"/>
    <w:rsid w:val="009E79BE"/>
    <w:rsid w:val="009F07C1"/>
    <w:rsid w:val="009F10CA"/>
    <w:rsid w:val="009F1F82"/>
    <w:rsid w:val="009F2F08"/>
    <w:rsid w:val="009F59CE"/>
    <w:rsid w:val="009F69DE"/>
    <w:rsid w:val="009F799D"/>
    <w:rsid w:val="009F7C41"/>
    <w:rsid w:val="009F7E84"/>
    <w:rsid w:val="00A00EC3"/>
    <w:rsid w:val="00A01E72"/>
    <w:rsid w:val="00A03918"/>
    <w:rsid w:val="00A03B42"/>
    <w:rsid w:val="00A05DE2"/>
    <w:rsid w:val="00A067FE"/>
    <w:rsid w:val="00A10F02"/>
    <w:rsid w:val="00A11888"/>
    <w:rsid w:val="00A124F6"/>
    <w:rsid w:val="00A14E25"/>
    <w:rsid w:val="00A15FB2"/>
    <w:rsid w:val="00A16DF1"/>
    <w:rsid w:val="00A170BC"/>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1E19"/>
    <w:rsid w:val="00A423AE"/>
    <w:rsid w:val="00A42586"/>
    <w:rsid w:val="00A43A2E"/>
    <w:rsid w:val="00A4476C"/>
    <w:rsid w:val="00A44AE9"/>
    <w:rsid w:val="00A45665"/>
    <w:rsid w:val="00A52986"/>
    <w:rsid w:val="00A52CC6"/>
    <w:rsid w:val="00A536A5"/>
    <w:rsid w:val="00A53724"/>
    <w:rsid w:val="00A54875"/>
    <w:rsid w:val="00A55549"/>
    <w:rsid w:val="00A55F94"/>
    <w:rsid w:val="00A566A2"/>
    <w:rsid w:val="00A57AD8"/>
    <w:rsid w:val="00A61128"/>
    <w:rsid w:val="00A625E4"/>
    <w:rsid w:val="00A62BFC"/>
    <w:rsid w:val="00A63B93"/>
    <w:rsid w:val="00A6496B"/>
    <w:rsid w:val="00A65425"/>
    <w:rsid w:val="00A65C1F"/>
    <w:rsid w:val="00A66990"/>
    <w:rsid w:val="00A718DA"/>
    <w:rsid w:val="00A7247E"/>
    <w:rsid w:val="00A743AC"/>
    <w:rsid w:val="00A74826"/>
    <w:rsid w:val="00A74C06"/>
    <w:rsid w:val="00A75305"/>
    <w:rsid w:val="00A753E1"/>
    <w:rsid w:val="00A775DD"/>
    <w:rsid w:val="00A77F59"/>
    <w:rsid w:val="00A80334"/>
    <w:rsid w:val="00A82346"/>
    <w:rsid w:val="00A825BF"/>
    <w:rsid w:val="00A845B8"/>
    <w:rsid w:val="00A85BB3"/>
    <w:rsid w:val="00A87209"/>
    <w:rsid w:val="00A914AD"/>
    <w:rsid w:val="00A954D8"/>
    <w:rsid w:val="00A9671C"/>
    <w:rsid w:val="00A9769E"/>
    <w:rsid w:val="00A97749"/>
    <w:rsid w:val="00A978E7"/>
    <w:rsid w:val="00AA1553"/>
    <w:rsid w:val="00AA39FE"/>
    <w:rsid w:val="00AA423E"/>
    <w:rsid w:val="00AA4494"/>
    <w:rsid w:val="00AA52B0"/>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1A25"/>
    <w:rsid w:val="00AD2619"/>
    <w:rsid w:val="00AD48F9"/>
    <w:rsid w:val="00AD4D8C"/>
    <w:rsid w:val="00AD5427"/>
    <w:rsid w:val="00AD5B72"/>
    <w:rsid w:val="00AD7EB7"/>
    <w:rsid w:val="00AE06A4"/>
    <w:rsid w:val="00AE095D"/>
    <w:rsid w:val="00AE1871"/>
    <w:rsid w:val="00AE26C0"/>
    <w:rsid w:val="00AE32B8"/>
    <w:rsid w:val="00AE35AC"/>
    <w:rsid w:val="00AE488A"/>
    <w:rsid w:val="00AE4A32"/>
    <w:rsid w:val="00AE5998"/>
    <w:rsid w:val="00AE5A3F"/>
    <w:rsid w:val="00AE67B2"/>
    <w:rsid w:val="00AE6C5B"/>
    <w:rsid w:val="00AE7394"/>
    <w:rsid w:val="00AE7935"/>
    <w:rsid w:val="00AF1C7D"/>
    <w:rsid w:val="00AF20A6"/>
    <w:rsid w:val="00AF2778"/>
    <w:rsid w:val="00AF3563"/>
    <w:rsid w:val="00AF3742"/>
    <w:rsid w:val="00AF5E5C"/>
    <w:rsid w:val="00AF6272"/>
    <w:rsid w:val="00B002EA"/>
    <w:rsid w:val="00B024E5"/>
    <w:rsid w:val="00B033FA"/>
    <w:rsid w:val="00B0343F"/>
    <w:rsid w:val="00B046A0"/>
    <w:rsid w:val="00B04A75"/>
    <w:rsid w:val="00B0648D"/>
    <w:rsid w:val="00B07AAA"/>
    <w:rsid w:val="00B07C93"/>
    <w:rsid w:val="00B10754"/>
    <w:rsid w:val="00B11743"/>
    <w:rsid w:val="00B1192D"/>
    <w:rsid w:val="00B11CB0"/>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40295"/>
    <w:rsid w:val="00B40C67"/>
    <w:rsid w:val="00B422C3"/>
    <w:rsid w:val="00B42667"/>
    <w:rsid w:val="00B444B8"/>
    <w:rsid w:val="00B4746E"/>
    <w:rsid w:val="00B47FD1"/>
    <w:rsid w:val="00B51427"/>
    <w:rsid w:val="00B516BB"/>
    <w:rsid w:val="00B51B0A"/>
    <w:rsid w:val="00B5205D"/>
    <w:rsid w:val="00B52D96"/>
    <w:rsid w:val="00B53C45"/>
    <w:rsid w:val="00B54665"/>
    <w:rsid w:val="00B547FF"/>
    <w:rsid w:val="00B61417"/>
    <w:rsid w:val="00B62989"/>
    <w:rsid w:val="00B62E9A"/>
    <w:rsid w:val="00B633C3"/>
    <w:rsid w:val="00B6406E"/>
    <w:rsid w:val="00B642B6"/>
    <w:rsid w:val="00B65E42"/>
    <w:rsid w:val="00B6646D"/>
    <w:rsid w:val="00B6737A"/>
    <w:rsid w:val="00B67EA2"/>
    <w:rsid w:val="00B701A0"/>
    <w:rsid w:val="00B70368"/>
    <w:rsid w:val="00B72CC9"/>
    <w:rsid w:val="00B73D0C"/>
    <w:rsid w:val="00B747AE"/>
    <w:rsid w:val="00B74842"/>
    <w:rsid w:val="00B751DC"/>
    <w:rsid w:val="00B756ED"/>
    <w:rsid w:val="00B75EF1"/>
    <w:rsid w:val="00B770FF"/>
    <w:rsid w:val="00B8019B"/>
    <w:rsid w:val="00B82009"/>
    <w:rsid w:val="00B82DD7"/>
    <w:rsid w:val="00B83F9A"/>
    <w:rsid w:val="00B84B18"/>
    <w:rsid w:val="00B86A6B"/>
    <w:rsid w:val="00B8722E"/>
    <w:rsid w:val="00B8739B"/>
    <w:rsid w:val="00B912B1"/>
    <w:rsid w:val="00B919F2"/>
    <w:rsid w:val="00B91A64"/>
    <w:rsid w:val="00B96CCF"/>
    <w:rsid w:val="00B97C71"/>
    <w:rsid w:val="00B97CBC"/>
    <w:rsid w:val="00BA13FD"/>
    <w:rsid w:val="00BA2ABC"/>
    <w:rsid w:val="00BA3230"/>
    <w:rsid w:val="00BA37B5"/>
    <w:rsid w:val="00BA3913"/>
    <w:rsid w:val="00BA601F"/>
    <w:rsid w:val="00BA6B3D"/>
    <w:rsid w:val="00BA7FDD"/>
    <w:rsid w:val="00BB00B6"/>
    <w:rsid w:val="00BB1993"/>
    <w:rsid w:val="00BB1D64"/>
    <w:rsid w:val="00BB5E22"/>
    <w:rsid w:val="00BB69C4"/>
    <w:rsid w:val="00BC02B4"/>
    <w:rsid w:val="00BC07C5"/>
    <w:rsid w:val="00BC136A"/>
    <w:rsid w:val="00BC175D"/>
    <w:rsid w:val="00BC1BBC"/>
    <w:rsid w:val="00BC1C99"/>
    <w:rsid w:val="00BC2D6C"/>
    <w:rsid w:val="00BC3A5F"/>
    <w:rsid w:val="00BC41B5"/>
    <w:rsid w:val="00BC56E3"/>
    <w:rsid w:val="00BC5A4D"/>
    <w:rsid w:val="00BC7783"/>
    <w:rsid w:val="00BD091C"/>
    <w:rsid w:val="00BD1631"/>
    <w:rsid w:val="00BD31D3"/>
    <w:rsid w:val="00BD55FC"/>
    <w:rsid w:val="00BD6273"/>
    <w:rsid w:val="00BD67B1"/>
    <w:rsid w:val="00BD7C63"/>
    <w:rsid w:val="00BE33DD"/>
    <w:rsid w:val="00BE5261"/>
    <w:rsid w:val="00BE7500"/>
    <w:rsid w:val="00BE7B3F"/>
    <w:rsid w:val="00BF0258"/>
    <w:rsid w:val="00BF2DF0"/>
    <w:rsid w:val="00BF2E14"/>
    <w:rsid w:val="00BF2ECB"/>
    <w:rsid w:val="00BF4416"/>
    <w:rsid w:val="00BF449E"/>
    <w:rsid w:val="00BF46D7"/>
    <w:rsid w:val="00BF49E1"/>
    <w:rsid w:val="00BF5561"/>
    <w:rsid w:val="00BF630D"/>
    <w:rsid w:val="00BF6EB6"/>
    <w:rsid w:val="00C01E8E"/>
    <w:rsid w:val="00C03D2D"/>
    <w:rsid w:val="00C042E6"/>
    <w:rsid w:val="00C04823"/>
    <w:rsid w:val="00C07B22"/>
    <w:rsid w:val="00C07D96"/>
    <w:rsid w:val="00C10DF1"/>
    <w:rsid w:val="00C12B51"/>
    <w:rsid w:val="00C13DC1"/>
    <w:rsid w:val="00C14766"/>
    <w:rsid w:val="00C15264"/>
    <w:rsid w:val="00C15795"/>
    <w:rsid w:val="00C16357"/>
    <w:rsid w:val="00C17978"/>
    <w:rsid w:val="00C2032B"/>
    <w:rsid w:val="00C20E9C"/>
    <w:rsid w:val="00C230AE"/>
    <w:rsid w:val="00C235C7"/>
    <w:rsid w:val="00C23FA7"/>
    <w:rsid w:val="00C24650"/>
    <w:rsid w:val="00C2597A"/>
    <w:rsid w:val="00C25AAF"/>
    <w:rsid w:val="00C26782"/>
    <w:rsid w:val="00C273D5"/>
    <w:rsid w:val="00C27752"/>
    <w:rsid w:val="00C27B36"/>
    <w:rsid w:val="00C31C47"/>
    <w:rsid w:val="00C31F2E"/>
    <w:rsid w:val="00C32347"/>
    <w:rsid w:val="00C33079"/>
    <w:rsid w:val="00C330DF"/>
    <w:rsid w:val="00C333E9"/>
    <w:rsid w:val="00C34F52"/>
    <w:rsid w:val="00C37FDE"/>
    <w:rsid w:val="00C41500"/>
    <w:rsid w:val="00C42782"/>
    <w:rsid w:val="00C42F1F"/>
    <w:rsid w:val="00C43926"/>
    <w:rsid w:val="00C4443E"/>
    <w:rsid w:val="00C44D2F"/>
    <w:rsid w:val="00C46BDB"/>
    <w:rsid w:val="00C47D2D"/>
    <w:rsid w:val="00C47F3D"/>
    <w:rsid w:val="00C51D27"/>
    <w:rsid w:val="00C54E61"/>
    <w:rsid w:val="00C556FB"/>
    <w:rsid w:val="00C613BA"/>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72"/>
    <w:rsid w:val="00C86C11"/>
    <w:rsid w:val="00C903F3"/>
    <w:rsid w:val="00C9068C"/>
    <w:rsid w:val="00C91051"/>
    <w:rsid w:val="00C9285D"/>
    <w:rsid w:val="00C92967"/>
    <w:rsid w:val="00C9499A"/>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B7094"/>
    <w:rsid w:val="00CC05BA"/>
    <w:rsid w:val="00CC1F68"/>
    <w:rsid w:val="00CC365E"/>
    <w:rsid w:val="00CC6083"/>
    <w:rsid w:val="00CD0243"/>
    <w:rsid w:val="00CD1CFE"/>
    <w:rsid w:val="00CD3BFC"/>
    <w:rsid w:val="00CD3E58"/>
    <w:rsid w:val="00CD4A61"/>
    <w:rsid w:val="00CD4C7B"/>
    <w:rsid w:val="00CD6435"/>
    <w:rsid w:val="00CE054B"/>
    <w:rsid w:val="00CE3213"/>
    <w:rsid w:val="00CE3BD1"/>
    <w:rsid w:val="00CE3E5A"/>
    <w:rsid w:val="00CE476C"/>
    <w:rsid w:val="00CF07F5"/>
    <w:rsid w:val="00CF2073"/>
    <w:rsid w:val="00CF2C9F"/>
    <w:rsid w:val="00CF5B76"/>
    <w:rsid w:val="00CF77AE"/>
    <w:rsid w:val="00D00033"/>
    <w:rsid w:val="00D00174"/>
    <w:rsid w:val="00D015EF"/>
    <w:rsid w:val="00D0310E"/>
    <w:rsid w:val="00D03911"/>
    <w:rsid w:val="00D04103"/>
    <w:rsid w:val="00D048E7"/>
    <w:rsid w:val="00D05C9E"/>
    <w:rsid w:val="00D077BD"/>
    <w:rsid w:val="00D1078C"/>
    <w:rsid w:val="00D133BA"/>
    <w:rsid w:val="00D14063"/>
    <w:rsid w:val="00D16129"/>
    <w:rsid w:val="00D177F8"/>
    <w:rsid w:val="00D20104"/>
    <w:rsid w:val="00D20E7D"/>
    <w:rsid w:val="00D23786"/>
    <w:rsid w:val="00D26AA2"/>
    <w:rsid w:val="00D27E3D"/>
    <w:rsid w:val="00D3258F"/>
    <w:rsid w:val="00D33118"/>
    <w:rsid w:val="00D33715"/>
    <w:rsid w:val="00D34B1E"/>
    <w:rsid w:val="00D402F5"/>
    <w:rsid w:val="00D41585"/>
    <w:rsid w:val="00D42844"/>
    <w:rsid w:val="00D43109"/>
    <w:rsid w:val="00D44328"/>
    <w:rsid w:val="00D450E9"/>
    <w:rsid w:val="00D50476"/>
    <w:rsid w:val="00D50FAB"/>
    <w:rsid w:val="00D53F4D"/>
    <w:rsid w:val="00D548D7"/>
    <w:rsid w:val="00D54EF9"/>
    <w:rsid w:val="00D5621D"/>
    <w:rsid w:val="00D562B4"/>
    <w:rsid w:val="00D57B51"/>
    <w:rsid w:val="00D6117F"/>
    <w:rsid w:val="00D62E82"/>
    <w:rsid w:val="00D63BB4"/>
    <w:rsid w:val="00D641AE"/>
    <w:rsid w:val="00D646DB"/>
    <w:rsid w:val="00D64B2D"/>
    <w:rsid w:val="00D66F34"/>
    <w:rsid w:val="00D679C7"/>
    <w:rsid w:val="00D7053B"/>
    <w:rsid w:val="00D738D6"/>
    <w:rsid w:val="00D73F4E"/>
    <w:rsid w:val="00D742F4"/>
    <w:rsid w:val="00D75638"/>
    <w:rsid w:val="00D75BA6"/>
    <w:rsid w:val="00D76EF8"/>
    <w:rsid w:val="00D80795"/>
    <w:rsid w:val="00D80F5E"/>
    <w:rsid w:val="00D82DC3"/>
    <w:rsid w:val="00D8694E"/>
    <w:rsid w:val="00D870B2"/>
    <w:rsid w:val="00D87A08"/>
    <w:rsid w:val="00D87E00"/>
    <w:rsid w:val="00D90131"/>
    <w:rsid w:val="00D90718"/>
    <w:rsid w:val="00D90AA4"/>
    <w:rsid w:val="00D9134D"/>
    <w:rsid w:val="00D91BCA"/>
    <w:rsid w:val="00D92B08"/>
    <w:rsid w:val="00D9549B"/>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248"/>
    <w:rsid w:val="00DB4BA8"/>
    <w:rsid w:val="00DB6E8D"/>
    <w:rsid w:val="00DB72F8"/>
    <w:rsid w:val="00DC109F"/>
    <w:rsid w:val="00DC1746"/>
    <w:rsid w:val="00DC17FD"/>
    <w:rsid w:val="00DC2D95"/>
    <w:rsid w:val="00DC309B"/>
    <w:rsid w:val="00DC41E9"/>
    <w:rsid w:val="00DC4DA2"/>
    <w:rsid w:val="00DC50B4"/>
    <w:rsid w:val="00DC5F65"/>
    <w:rsid w:val="00DC7854"/>
    <w:rsid w:val="00DD06F0"/>
    <w:rsid w:val="00DD102D"/>
    <w:rsid w:val="00DD43BA"/>
    <w:rsid w:val="00DD4A4E"/>
    <w:rsid w:val="00DD5312"/>
    <w:rsid w:val="00DD5517"/>
    <w:rsid w:val="00DD70FA"/>
    <w:rsid w:val="00DD722F"/>
    <w:rsid w:val="00DE0D91"/>
    <w:rsid w:val="00DE17D1"/>
    <w:rsid w:val="00DE44B0"/>
    <w:rsid w:val="00DE4A98"/>
    <w:rsid w:val="00DE56A5"/>
    <w:rsid w:val="00DF08B7"/>
    <w:rsid w:val="00DF2B7B"/>
    <w:rsid w:val="00DF5B0C"/>
    <w:rsid w:val="00E0098E"/>
    <w:rsid w:val="00E02F6A"/>
    <w:rsid w:val="00E03198"/>
    <w:rsid w:val="00E035F9"/>
    <w:rsid w:val="00E03A46"/>
    <w:rsid w:val="00E03F18"/>
    <w:rsid w:val="00E0415B"/>
    <w:rsid w:val="00E06135"/>
    <w:rsid w:val="00E062E3"/>
    <w:rsid w:val="00E074C7"/>
    <w:rsid w:val="00E113C0"/>
    <w:rsid w:val="00E211B2"/>
    <w:rsid w:val="00E23537"/>
    <w:rsid w:val="00E250F4"/>
    <w:rsid w:val="00E25BEF"/>
    <w:rsid w:val="00E25C19"/>
    <w:rsid w:val="00E26380"/>
    <w:rsid w:val="00E30372"/>
    <w:rsid w:val="00E307FC"/>
    <w:rsid w:val="00E313B9"/>
    <w:rsid w:val="00E31932"/>
    <w:rsid w:val="00E31E89"/>
    <w:rsid w:val="00E323D4"/>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5DCB"/>
    <w:rsid w:val="00E56EEF"/>
    <w:rsid w:val="00E60CAF"/>
    <w:rsid w:val="00E61B39"/>
    <w:rsid w:val="00E62835"/>
    <w:rsid w:val="00E6425A"/>
    <w:rsid w:val="00E64523"/>
    <w:rsid w:val="00E6528D"/>
    <w:rsid w:val="00E6683D"/>
    <w:rsid w:val="00E7041F"/>
    <w:rsid w:val="00E7056E"/>
    <w:rsid w:val="00E70A06"/>
    <w:rsid w:val="00E730C7"/>
    <w:rsid w:val="00E73610"/>
    <w:rsid w:val="00E73923"/>
    <w:rsid w:val="00E751E7"/>
    <w:rsid w:val="00E76317"/>
    <w:rsid w:val="00E76946"/>
    <w:rsid w:val="00E769AC"/>
    <w:rsid w:val="00E77645"/>
    <w:rsid w:val="00E77925"/>
    <w:rsid w:val="00E77976"/>
    <w:rsid w:val="00E77AE3"/>
    <w:rsid w:val="00E77E21"/>
    <w:rsid w:val="00E810BF"/>
    <w:rsid w:val="00E83697"/>
    <w:rsid w:val="00E83810"/>
    <w:rsid w:val="00E84686"/>
    <w:rsid w:val="00E854D4"/>
    <w:rsid w:val="00E855F7"/>
    <w:rsid w:val="00E858CD"/>
    <w:rsid w:val="00E870A0"/>
    <w:rsid w:val="00E91487"/>
    <w:rsid w:val="00E91DDC"/>
    <w:rsid w:val="00E925C9"/>
    <w:rsid w:val="00E92B2F"/>
    <w:rsid w:val="00E9444B"/>
    <w:rsid w:val="00E94784"/>
    <w:rsid w:val="00E94C85"/>
    <w:rsid w:val="00EA00A8"/>
    <w:rsid w:val="00EA0AAF"/>
    <w:rsid w:val="00EA1DC3"/>
    <w:rsid w:val="00EA1ED6"/>
    <w:rsid w:val="00EA3CAE"/>
    <w:rsid w:val="00EA42F1"/>
    <w:rsid w:val="00EA6CB4"/>
    <w:rsid w:val="00EB2AF5"/>
    <w:rsid w:val="00EB4566"/>
    <w:rsid w:val="00EB4E5D"/>
    <w:rsid w:val="00EB564C"/>
    <w:rsid w:val="00EB7699"/>
    <w:rsid w:val="00EC0A52"/>
    <w:rsid w:val="00EC39EB"/>
    <w:rsid w:val="00EC464F"/>
    <w:rsid w:val="00EC4A25"/>
    <w:rsid w:val="00EC5873"/>
    <w:rsid w:val="00EC5DC4"/>
    <w:rsid w:val="00EC6834"/>
    <w:rsid w:val="00EC68E7"/>
    <w:rsid w:val="00EC6A06"/>
    <w:rsid w:val="00EC717A"/>
    <w:rsid w:val="00EC775E"/>
    <w:rsid w:val="00ED07E4"/>
    <w:rsid w:val="00ED09BF"/>
    <w:rsid w:val="00ED1D93"/>
    <w:rsid w:val="00ED20B1"/>
    <w:rsid w:val="00ED43A5"/>
    <w:rsid w:val="00EE0C7B"/>
    <w:rsid w:val="00EE1512"/>
    <w:rsid w:val="00EE217F"/>
    <w:rsid w:val="00EE4120"/>
    <w:rsid w:val="00EE43CC"/>
    <w:rsid w:val="00EE44AD"/>
    <w:rsid w:val="00EE4E67"/>
    <w:rsid w:val="00EE728D"/>
    <w:rsid w:val="00EE78CE"/>
    <w:rsid w:val="00EE7D61"/>
    <w:rsid w:val="00EF13DA"/>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078"/>
    <w:rsid w:val="00F2210A"/>
    <w:rsid w:val="00F22362"/>
    <w:rsid w:val="00F24379"/>
    <w:rsid w:val="00F2595D"/>
    <w:rsid w:val="00F26587"/>
    <w:rsid w:val="00F2754C"/>
    <w:rsid w:val="00F31951"/>
    <w:rsid w:val="00F31CC8"/>
    <w:rsid w:val="00F32173"/>
    <w:rsid w:val="00F3250E"/>
    <w:rsid w:val="00F326D6"/>
    <w:rsid w:val="00F32EE5"/>
    <w:rsid w:val="00F35FE7"/>
    <w:rsid w:val="00F37743"/>
    <w:rsid w:val="00F40310"/>
    <w:rsid w:val="00F42B86"/>
    <w:rsid w:val="00F430F6"/>
    <w:rsid w:val="00F44FCE"/>
    <w:rsid w:val="00F47078"/>
    <w:rsid w:val="00F4731F"/>
    <w:rsid w:val="00F47D33"/>
    <w:rsid w:val="00F52DBE"/>
    <w:rsid w:val="00F53AAD"/>
    <w:rsid w:val="00F53C8B"/>
    <w:rsid w:val="00F5490A"/>
    <w:rsid w:val="00F54A3D"/>
    <w:rsid w:val="00F54F7D"/>
    <w:rsid w:val="00F572EF"/>
    <w:rsid w:val="00F57BF9"/>
    <w:rsid w:val="00F62456"/>
    <w:rsid w:val="00F63710"/>
    <w:rsid w:val="00F653B8"/>
    <w:rsid w:val="00F66E5B"/>
    <w:rsid w:val="00F67AF6"/>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91EFD"/>
    <w:rsid w:val="00F941A4"/>
    <w:rsid w:val="00F965DB"/>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18C5"/>
    <w:rsid w:val="00FC40D3"/>
    <w:rsid w:val="00FC5026"/>
    <w:rsid w:val="00FC5133"/>
    <w:rsid w:val="00FC63B6"/>
    <w:rsid w:val="00FC77D8"/>
    <w:rsid w:val="00FD03E5"/>
    <w:rsid w:val="00FD187E"/>
    <w:rsid w:val="00FD1FA7"/>
    <w:rsid w:val="00FD2CBF"/>
    <w:rsid w:val="00FD3E22"/>
    <w:rsid w:val="00FD4EDD"/>
    <w:rsid w:val="00FD55F1"/>
    <w:rsid w:val="00FD7778"/>
    <w:rsid w:val="00FD7FDF"/>
    <w:rsid w:val="00FE0DB2"/>
    <w:rsid w:val="00FE55FB"/>
    <w:rsid w:val="00FE5909"/>
    <w:rsid w:val="00FF0142"/>
    <w:rsid w:val="00FF05DE"/>
    <w:rsid w:val="00FF0BC3"/>
    <w:rsid w:val="00FF122E"/>
    <w:rsid w:val="00FF123B"/>
    <w:rsid w:val="00FF1498"/>
    <w:rsid w:val="00FF3826"/>
    <w:rsid w:val="00FF3C83"/>
    <w:rsid w:val="00FF4802"/>
    <w:rsid w:val="00FF4FF4"/>
    <w:rsid w:val="00FF5002"/>
    <w:rsid w:val="00FF77D0"/>
    <w:rsid w:val="00FF7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PLChar">
    <w:name w:val="PL Char"/>
    <w:link w:val="PL"/>
    <w:qFormat/>
    <w:rsid w:val="009B2F4A"/>
    <w:rPr>
      <w:rFonts w:ascii="Courier New" w:hAnsi="Courier New"/>
      <w:noProof/>
      <w:sz w:val="16"/>
      <w:lang w:val="en-GB"/>
    </w:rPr>
  </w:style>
  <w:style w:type="character" w:customStyle="1" w:styleId="B1Zchn">
    <w:name w:val="B1 Zchn"/>
    <w:qFormat/>
    <w:rsid w:val="00F47D3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5563073">
      <w:bodyDiv w:val="1"/>
      <w:marLeft w:val="0"/>
      <w:marRight w:val="0"/>
      <w:marTop w:val="0"/>
      <w:marBottom w:val="0"/>
      <w:divBdr>
        <w:top w:val="none" w:sz="0" w:space="0" w:color="auto"/>
        <w:left w:val="none" w:sz="0" w:space="0" w:color="auto"/>
        <w:bottom w:val="none" w:sz="0" w:space="0" w:color="auto"/>
        <w:right w:val="none" w:sz="0" w:space="0" w:color="auto"/>
      </w:divBdr>
      <w:divsChild>
        <w:div w:id="2057503595">
          <w:marLeft w:val="547"/>
          <w:marRight w:val="0"/>
          <w:marTop w:val="288"/>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85333532">
      <w:bodyDiv w:val="1"/>
      <w:marLeft w:val="0"/>
      <w:marRight w:val="0"/>
      <w:marTop w:val="0"/>
      <w:marBottom w:val="0"/>
      <w:divBdr>
        <w:top w:val="none" w:sz="0" w:space="0" w:color="auto"/>
        <w:left w:val="none" w:sz="0" w:space="0" w:color="auto"/>
        <w:bottom w:val="none" w:sz="0" w:space="0" w:color="auto"/>
        <w:right w:val="none" w:sz="0" w:space="0" w:color="auto"/>
      </w:divBdr>
      <w:divsChild>
        <w:div w:id="564411137">
          <w:marLeft w:val="547"/>
          <w:marRight w:val="0"/>
          <w:marTop w:val="240"/>
          <w:marBottom w:val="0"/>
          <w:divBdr>
            <w:top w:val="none" w:sz="0" w:space="0" w:color="auto"/>
            <w:left w:val="none" w:sz="0" w:space="0" w:color="auto"/>
            <w:bottom w:val="none" w:sz="0" w:space="0" w:color="auto"/>
            <w:right w:val="none" w:sz="0" w:space="0" w:color="auto"/>
          </w:divBdr>
        </w:div>
        <w:div w:id="1884901907">
          <w:marLeft w:val="547"/>
          <w:marRight w:val="0"/>
          <w:marTop w:val="240"/>
          <w:marBottom w:val="0"/>
          <w:divBdr>
            <w:top w:val="none" w:sz="0" w:space="0" w:color="auto"/>
            <w:left w:val="none" w:sz="0" w:space="0" w:color="auto"/>
            <w:bottom w:val="none" w:sz="0" w:space="0" w:color="auto"/>
            <w:right w:val="none" w:sz="0" w:space="0" w:color="auto"/>
          </w:divBdr>
        </w:div>
      </w:divsChild>
    </w:div>
    <w:div w:id="977682466">
      <w:bodyDiv w:val="1"/>
      <w:marLeft w:val="0"/>
      <w:marRight w:val="0"/>
      <w:marTop w:val="0"/>
      <w:marBottom w:val="0"/>
      <w:divBdr>
        <w:top w:val="none" w:sz="0" w:space="0" w:color="auto"/>
        <w:left w:val="none" w:sz="0" w:space="0" w:color="auto"/>
        <w:bottom w:val="none" w:sz="0" w:space="0" w:color="auto"/>
        <w:right w:val="none" w:sz="0" w:space="0" w:color="auto"/>
      </w:divBdr>
      <w:divsChild>
        <w:div w:id="801533901">
          <w:marLeft w:val="547"/>
          <w:marRight w:val="0"/>
          <w:marTop w:val="288"/>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55001317">
      <w:bodyDiv w:val="1"/>
      <w:marLeft w:val="0"/>
      <w:marRight w:val="0"/>
      <w:marTop w:val="0"/>
      <w:marBottom w:val="0"/>
      <w:divBdr>
        <w:top w:val="none" w:sz="0" w:space="0" w:color="auto"/>
        <w:left w:val="none" w:sz="0" w:space="0" w:color="auto"/>
        <w:bottom w:val="none" w:sz="0" w:space="0" w:color="auto"/>
        <w:right w:val="none" w:sz="0" w:space="0" w:color="auto"/>
      </w:divBdr>
      <w:divsChild>
        <w:div w:id="1551917431">
          <w:marLeft w:val="547"/>
          <w:marRight w:val="0"/>
          <w:marTop w:val="240"/>
          <w:marBottom w:val="0"/>
          <w:divBdr>
            <w:top w:val="none" w:sz="0" w:space="0" w:color="auto"/>
            <w:left w:val="none" w:sz="0" w:space="0" w:color="auto"/>
            <w:bottom w:val="none" w:sz="0" w:space="0" w:color="auto"/>
            <w:right w:val="none" w:sz="0" w:space="0" w:color="auto"/>
          </w:divBdr>
        </w:div>
        <w:div w:id="1840658462">
          <w:marLeft w:val="1166"/>
          <w:marRight w:val="0"/>
          <w:marTop w:val="96"/>
          <w:marBottom w:val="0"/>
          <w:divBdr>
            <w:top w:val="none" w:sz="0" w:space="0" w:color="auto"/>
            <w:left w:val="none" w:sz="0" w:space="0" w:color="auto"/>
            <w:bottom w:val="none" w:sz="0" w:space="0" w:color="auto"/>
            <w:right w:val="none" w:sz="0" w:space="0" w:color="auto"/>
          </w:divBdr>
        </w:div>
        <w:div w:id="51540380">
          <w:marLeft w:val="547"/>
          <w:marRight w:val="0"/>
          <w:marTop w:val="240"/>
          <w:marBottom w:val="0"/>
          <w:divBdr>
            <w:top w:val="none" w:sz="0" w:space="0" w:color="auto"/>
            <w:left w:val="none" w:sz="0" w:space="0" w:color="auto"/>
            <w:bottom w:val="none" w:sz="0" w:space="0" w:color="auto"/>
            <w:right w:val="none" w:sz="0" w:space="0" w:color="auto"/>
          </w:divBdr>
        </w:div>
        <w:div w:id="83376679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2097</Words>
  <Characters>11955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2023-08-09T17:07:00Z</dcterms:created>
  <dcterms:modified xsi:type="dcterms:W3CDTF">2023-08-09T17:10:00Z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